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120"/>
        <w:gridCol w:w="3120"/>
        <w:gridCol w:w="3120"/>
      </w:tblGrid>
      <w:tr>
        <w:trPr>
          <w:trHeight w:hRule="exact" w:val="536"/>
        </w:trPr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07920" cy="6553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55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44" w:after="0"/>
              <w:ind w:left="0" w:right="0" w:firstLine="0"/>
              <w:jc w:val="center"/>
            </w:pPr>
            <w:r>
              <w:rPr>
                <w:w w:val="98.45737658048931"/>
                <w:rFonts w:ascii="" w:hAnsi="" w:eastAsia=""/>
                <w:b w:val="0"/>
                <w:i w:val="0"/>
                <w:color w:val="000000"/>
                <w:sz w:val="19"/>
              </w:rPr>
              <w:t>Vol. IX (LXXI)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38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51 - 57 </w:t>
            </w:r>
          </w:p>
        </w:tc>
      </w:tr>
      <w:tr>
        <w:trPr>
          <w:trHeight w:hRule="exact" w:val="556"/>
        </w:trPr>
        <w:tc>
          <w:tcPr>
            <w:tcW w:type="dxa" w:w="3120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 w:val="0"/>
                <w:color w:val="000000"/>
                <w:sz w:val="19"/>
              </w:rPr>
              <w:t>No. 1/2019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0" w:lineRule="exact" w:before="22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30"/>
        </w:rPr>
        <w:t xml:space="preserve">Game-based learning. Using board games in adult education* </w:t>
      </w:r>
    </w:p>
    <w:p>
      <w:pPr>
        <w:autoSpaceDN w:val="0"/>
        <w:autoSpaceDE w:val="0"/>
        <w:widowControl/>
        <w:spacing w:line="278" w:lineRule="exact" w:before="240" w:after="0"/>
        <w:ind w:left="1008" w:right="1008" w:firstLine="0"/>
        <w:jc w:val="center"/>
      </w:pPr>
      <w:r>
        <w:rPr>
          <w:w w:val="101.4213048494779"/>
          <w:rFonts w:ascii="Times" w:hAnsi="Times" w:eastAsia="Times"/>
          <w:b w:val="0"/>
          <w:i w:val="0"/>
          <w:color w:val="000000"/>
          <w:sz w:val="26"/>
        </w:rPr>
        <w:t>Ioana Boghian, Venera-Mihaela Cojocariu</w:t>
      </w:r>
      <w:r>
        <w:rPr>
          <w:w w:val="101.42188866933186"/>
          <w:rFonts w:ascii="Times" w:hAnsi="Times" w:eastAsia="Times"/>
          <w:b w:val="0"/>
          <w:i w:val="0"/>
          <w:color w:val="000000"/>
          <w:sz w:val="24"/>
        </w:rPr>
        <w:t xml:space="preserve">*, Carmen Violeta Popescu, </w:t>
      </w:r>
      <w:r>
        <w:rPr>
          <w:w w:val="101.42188866933186"/>
          <w:rFonts w:ascii="Times" w:hAnsi="Times" w:eastAsia="Times"/>
          <w:b w:val="0"/>
          <w:i w:val="0"/>
          <w:color w:val="000000"/>
          <w:sz w:val="24"/>
        </w:rPr>
        <w:t>Liliana Mâ</w:t>
      </w:r>
      <w:r>
        <w:rPr>
          <w:w w:val="101.42188866933186"/>
          <w:rFonts w:ascii="TimesNewRoman" w:hAnsi="TimesNewRoman" w:eastAsia="TimesNewRoman"/>
          <w:b w:val="0"/>
          <w:i w:val="0"/>
          <w:color w:val="000000"/>
          <w:sz w:val="24"/>
        </w:rPr>
        <w:t>ţӑ</w:t>
      </w:r>
    </w:p>
    <w:p>
      <w:pPr>
        <w:autoSpaceDN w:val="0"/>
        <w:autoSpaceDE w:val="0"/>
        <w:widowControl/>
        <w:spacing w:line="210" w:lineRule="exact" w:before="152" w:after="0"/>
        <w:ind w:left="0" w:right="0" w:firstLine="0"/>
        <w:jc w:val="center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Vasile Alecsandri University of Bac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ӑ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u, M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ӑ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r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ӑş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e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ti 157, Bac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ӑ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u 600115, Romania </w:t>
      </w:r>
    </w:p>
    <w:p>
      <w:pPr>
        <w:autoSpaceDN w:val="0"/>
        <w:autoSpaceDE w:val="0"/>
        <w:widowControl/>
        <w:spacing w:line="188" w:lineRule="exact" w:before="438" w:after="0"/>
        <w:ind w:left="768" w:right="0" w:firstLine="0"/>
        <w:jc w:val="left"/>
      </w:pPr>
      <w:r>
        <w:rPr>
          <w:w w:val="98.45737658048931"/>
          <w:rFonts w:ascii="Times" w:hAnsi="Times" w:eastAsia="Times"/>
          <w:b/>
          <w:i w:val="0"/>
          <w:color w:val="000000"/>
          <w:sz w:val="19"/>
        </w:rPr>
        <w:t xml:space="preserve">Abstract </w:t>
      </w:r>
    </w:p>
    <w:p>
      <w:pPr>
        <w:autoSpaceDN w:val="0"/>
        <w:autoSpaceDE w:val="0"/>
        <w:widowControl/>
        <w:spacing w:line="206" w:lineRule="exact" w:before="208" w:after="0"/>
        <w:ind w:left="768" w:right="730" w:firstLine="0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Our paper relies on a literature review type of research and aims to approach several aspects related to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game-based learning in the education of adults. The objectives are: to highlight the importance of play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and games in human development; to briefly present learning theories that support the use of games in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learning; to define the main characteristics of game-based learning; to define board games in relation to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adult education – learning outcomes of board games and competences that may be built and developed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through board games. This paper is part of the research within an international cooperation project that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aims to develop and implement game-based learning in adult education through board games and role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plays. </w:t>
      </w:r>
    </w:p>
    <w:p>
      <w:pPr>
        <w:autoSpaceDN w:val="0"/>
        <w:autoSpaceDE w:val="0"/>
        <w:widowControl/>
        <w:spacing w:line="190" w:lineRule="exact" w:before="220" w:after="0"/>
        <w:ind w:left="768" w:right="72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Keywords: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game-based learning; board game; adult education; competences and skills; learning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outcome. </w:t>
      </w:r>
    </w:p>
    <w:p>
      <w:pPr>
        <w:autoSpaceDN w:val="0"/>
        <w:autoSpaceDE w:val="0"/>
        <w:widowControl/>
        <w:spacing w:line="224" w:lineRule="exact" w:before="420" w:after="0"/>
        <w:ind w:left="768" w:right="0" w:firstLine="0"/>
        <w:jc w:val="left"/>
      </w:pP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>1.</w:t>
      </w: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 xml:space="preserve">Introduction </w:t>
      </w:r>
    </w:p>
    <w:p>
      <w:pPr>
        <w:autoSpaceDN w:val="0"/>
        <w:autoSpaceDE w:val="0"/>
        <w:widowControl/>
        <w:spacing w:line="226" w:lineRule="exact" w:before="228" w:after="0"/>
        <w:ind w:left="768" w:right="720" w:firstLine="224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 are the expression of the ludic nature of the human being; games are also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necessary and useful as tools for intended or unintended entertainment, recreation,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learning and behavioural modification (Connolly et al., 2012).Games provide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enjoyment, passionate involvement, structure, motivation, ego gratification,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adrenaline, creativity, social interaction and emotion, satisfying the human need for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learning (Prensky, 2001). Nowadays there is an increasing need for teachers to help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learners engage with learning and keep them motivated; to do this, teachers and adults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need to understand the importance of games in learning, as well as how to use game-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based teaching and learning. Games have recently become increasingly important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within formative action, generating the emergence of the “Ludic epistemology”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theory: it aims to identify ways to encode knowledge in the form of games and how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shape the process of knowledge acquisition like a process of playing (Castell, 2011).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There are two major types of learning theories that guide the use of games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education: behavioural theories and constructivist theories of learning. In games based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on behavioural theories of learning, the basic element of the learning process is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question that the game addresses the player; the player’s response to this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question/stimulus is an answer, which may be right or wrong; correct answers are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rewarded with a positive response from the game (e.g. a happy tune or the display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happy faces) which further stimulates positive emotions in the player; a wrong answer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triggers a negative game response (e.g. a sad tune or sad emoticons); a series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correct answers triggers a larger reward from the game, for example a mini game or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animation; such games rely on the “drill and practice principle” and use techniques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such as quizzes, point and click, practicing basic arithmetic operations (Zalka,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2012;Rugelj, 2015; Rugelj, Jedrinovi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ć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, Bev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č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i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č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2018). </w:t>
      </w:r>
    </w:p>
    <w:p>
      <w:pPr>
        <w:autoSpaceDN w:val="0"/>
        <w:autoSpaceDE w:val="0"/>
        <w:widowControl/>
        <w:spacing w:line="224" w:lineRule="exact" w:before="2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 based on constructivist learning theories of learning rely on the learner’s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active role and enable the achievement of higher taxonomic levels of knowledge;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learning is problem-based, therefore such games are designed as life-like or fictional </w:t>
      </w:r>
    </w:p>
    <w:p>
      <w:pPr>
        <w:autoSpaceDN w:val="0"/>
        <w:tabs>
          <w:tab w:pos="994" w:val="left"/>
        </w:tabs>
        <w:autoSpaceDE w:val="0"/>
        <w:widowControl/>
        <w:spacing w:line="188" w:lineRule="exact" w:before="234" w:after="0"/>
        <w:ind w:left="768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* </w:t>
      </w:r>
      <w:r>
        <w:rPr>
          <w:rFonts w:ascii="Times" w:hAnsi="Times" w:eastAsia="Times"/>
          <w:b/>
          <w:i/>
          <w:color w:val="000000"/>
          <w:sz w:val="17"/>
        </w:rPr>
        <w:t>Paper presented at the International Congress PROEDU 2018 -</w:t>
      </w:r>
      <w:r>
        <w:rPr>
          <w:rFonts w:ascii="Times" w:hAnsi="Times" w:eastAsia="Times"/>
          <w:b/>
          <w:i/>
          <w:color w:val="000000"/>
          <w:sz w:val="17"/>
        </w:rPr>
        <w:t xml:space="preserve">TRENDS AND CHALLENGES IN </w:t>
      </w:r>
      <w:r>
        <w:rPr>
          <w:rFonts w:ascii="Times" w:hAnsi="Times" w:eastAsia="Times"/>
          <w:b/>
          <w:i/>
          <w:color w:val="000000"/>
          <w:sz w:val="17"/>
        </w:rPr>
        <w:t xml:space="preserve">CONTEMPORARY 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* Corresponding author. Tel.: +40-234-588-884; fax: +40-234-588-884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7"/>
        </w:rPr>
        <w:t>E-mail address</w:t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venera@ub.ro </w:t>
      </w:r>
    </w:p>
    <w:p>
      <w:pPr>
        <w:sectPr>
          <w:pgSz w:w="12240" w:h="15840"/>
          <w:pgMar w:top="332" w:right="1440" w:bottom="68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52</w:t>
      </w:r>
    </w:p>
    <w:p>
      <w:pPr>
        <w:autoSpaceDN w:val="0"/>
        <w:autoSpaceDE w:val="0"/>
        <w:widowControl/>
        <w:spacing w:line="226" w:lineRule="exact" w:before="482" w:after="0"/>
        <w:ind w:left="768" w:right="72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stories in which the learner plays a role, identifies with what is happening in the game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world and actively solves problems; the teacher’s role is to select (and produce, if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possible) suitable games and provide guidance and feedback on the learner’s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evolution during the game and results; such games help learners build appropriate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mental models (Rugelj, 2015). The psycho-pedagogical use of games (from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constructivist perspective!) also generates changes in how the teacher intervenes.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teacher plays a more discrete teaching role, its impact is predominantly formative,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problematic, applicative, interactive, of counseling and guidance (with consequences,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including in the initial and continuous training for the teaching career !!!).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Based on the finality of the game and how it is built, games may be classified into: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1. educational games: with educational finalities; practiced non-formally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informally, anywhere and anytime, with or without adult supervision; 2. didactic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games: explicitly designed for a learning purpose, designed to teach learners about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certain subjects, expand concepts, reinforce development, or assist learners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acquiring a skill.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Types of games include: 1. board games: pure strategy and/or rolling dice; 2. card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games/ playing cards; 3. video games – humans interact with a user interface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generate visual feedback on a video device (Keesee, 2012).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basic structure of a didactic game comprises: 1. theme/subject and content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accordance with the participants/students’ age; 2. didactic aim/educational finality; 3.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operational objectives/specific finalities; 4. didactic task/instructions/the training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element (recognition, naming, comparing etc.); 5. game rules; 6. game elements(e.g.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competition, cooperation, rewards, penalty, applauses, encouragement); 7. didactic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strategy (the didactic procedures, the materials, and game organization); 8. the stages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of the game; 9. game versions/complication (Dumitriu, 2011; Mâ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ţă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&amp;Cojocariu, 2011). </w:t>
      </w:r>
    </w:p>
    <w:p>
      <w:pPr>
        <w:autoSpaceDN w:val="0"/>
        <w:autoSpaceDE w:val="0"/>
        <w:widowControl/>
        <w:spacing w:line="224" w:lineRule="exact" w:before="224" w:after="0"/>
        <w:ind w:left="768" w:right="0" w:firstLine="0"/>
        <w:jc w:val="left"/>
      </w:pP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>2.</w:t>
      </w: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 xml:space="preserve">Methodology: searching, selection and data analysis </w:t>
      </w:r>
    </w:p>
    <w:p>
      <w:pPr>
        <w:autoSpaceDN w:val="0"/>
        <w:autoSpaceDE w:val="0"/>
        <w:widowControl/>
        <w:spacing w:line="226" w:lineRule="exact" w:before="228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purpose of this section is to highlight the relevance of board games for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 in general and, more specifically, for adult education. The search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selection procedure applied to electronic databases and open-ended search period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focused on the key words ‘board game(s) and education’, ‘board games and adult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education’. The electronic databases used include, but are not limited to: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PsycARTICLES, ERIC, EdITLib Digital Library and Academic Search Premier,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latter of which is one of the most prominent databases in academic institutions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(Blessinger&amp;Olle, 2004). </w:t>
      </w:r>
    </w:p>
    <w:p>
      <w:pPr>
        <w:autoSpaceDN w:val="0"/>
        <w:tabs>
          <w:tab w:pos="992" w:val="left"/>
        </w:tabs>
        <w:autoSpaceDE w:val="0"/>
        <w:widowControl/>
        <w:spacing w:line="224" w:lineRule="exact" w:before="2" w:after="0"/>
        <w:ind w:left="768" w:right="720" w:firstLine="0"/>
        <w:jc w:val="left"/>
      </w:pPr>
      <w:r>
        <w:tab/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Our literature review is an attempt to answer questions such as: </w:t>
      </w:r>
      <w:r>
        <w:br/>
      </w:r>
      <w:r>
        <w:tab/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Q1: Is there, according to the literature, a correlation between board games and key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competences for lifelong learning? </w:t>
      </w:r>
    </w:p>
    <w:p>
      <w:pPr>
        <w:autoSpaceDN w:val="0"/>
        <w:autoSpaceDE w:val="0"/>
        <w:widowControl/>
        <w:spacing w:line="226" w:lineRule="exact" w:before="0" w:after="0"/>
        <w:ind w:left="992" w:right="0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Q2: What are the learning outcomes of using board games in education? </w:t>
      </w:r>
    </w:p>
    <w:p>
      <w:pPr>
        <w:autoSpaceDN w:val="0"/>
        <w:autoSpaceDE w:val="0"/>
        <w:widowControl/>
        <w:spacing w:line="226" w:lineRule="exact" w:before="0" w:after="0"/>
        <w:ind w:left="992" w:right="0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Q3: What are the advantages and disadvantages of using board games in education?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Q4: Are the advantages and the learning outcomes of using board games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education, in general and, more specifically, in adult education relevant enough –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context of an increasingly globalised world – to support further investigation into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this topic and promote game-based learning activities? </w:t>
      </w:r>
    </w:p>
    <w:p>
      <w:pPr>
        <w:autoSpaceDN w:val="0"/>
        <w:autoSpaceDE w:val="0"/>
        <w:widowControl/>
        <w:spacing w:line="224" w:lineRule="exact" w:before="224" w:after="0"/>
        <w:ind w:left="768" w:right="0" w:firstLine="0"/>
        <w:jc w:val="left"/>
      </w:pP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>3.</w:t>
      </w: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 xml:space="preserve">Results of the literature review on using board games in adult education </w:t>
      </w:r>
    </w:p>
    <w:p>
      <w:pPr>
        <w:autoSpaceDN w:val="0"/>
        <w:autoSpaceDE w:val="0"/>
        <w:widowControl/>
        <w:spacing w:line="226" w:lineRule="exact" w:before="228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search yielded a small number of papers on the topic of using board games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education, this being a recent approach in education as a response to the need to find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innovative teaching-learning-evaluation-self-evaluation methods that may suit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needs of 21st-century globalized citizens.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Recommendation of the European Parliament and of the Council of 18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December 2006 on key competences for lifelong learning (2006/962/EC) establishes,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for the graduates of compulsory education, a European training profile defined by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eight domains of key competences: 1. Communication in the mother tongue; 2.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Communication in foreign languages; 3. Mathematical competence and basic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competences in science and technology; 4. Digital competence; 5. Learning to learn; </w:t>
      </w:r>
    </w:p>
    <w:p>
      <w:pPr>
        <w:sectPr>
          <w:pgSz w:w="12240" w:h="15840"/>
          <w:pgMar w:top="334" w:right="1440" w:bottom="696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53</w:t>
      </w:r>
    </w:p>
    <w:p>
      <w:pPr>
        <w:autoSpaceDN w:val="0"/>
        <w:autoSpaceDE w:val="0"/>
        <w:widowControl/>
        <w:spacing w:line="226" w:lineRule="exact" w:before="482" w:after="0"/>
        <w:ind w:left="768" w:right="720" w:firstLine="0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6. Social and civic competences; 7. Sense of initiative and entrepreneurship; 8.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Cultural awareness and expression. </w:t>
      </w:r>
    </w:p>
    <w:p>
      <w:pPr>
        <w:autoSpaceDN w:val="0"/>
        <w:autoSpaceDE w:val="0"/>
        <w:widowControl/>
        <w:spacing w:line="224" w:lineRule="exact" w:before="224" w:after="0"/>
        <w:ind w:left="1436" w:right="0" w:firstLine="0"/>
        <w:jc w:val="left"/>
      </w:pP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3.1.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Board games, learning outcomes and key competences </w:t>
      </w:r>
    </w:p>
    <w:p>
      <w:pPr>
        <w:autoSpaceDN w:val="0"/>
        <w:autoSpaceDE w:val="0"/>
        <w:widowControl/>
        <w:spacing w:line="226" w:lineRule="exact" w:before="228" w:after="0"/>
        <w:ind w:left="768" w:right="720" w:firstLine="224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Regarding Q1 and Q2, the literature on using games in education mentions as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outcomes for game-based education the following competences and skills related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eight domains mentioned above (Anderson, Anderson &amp; Taylor, 2009; Bowman,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2010; Milczynski, 2011; Charlier et al., 2012; Connolly et al., 2012; Keesee, 2012;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Erhel&amp;Jamet, 2013; Whitton, 2012;Rugelj, 2015; Rugelj, 2016; Cojocariu et al.,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2017; Rugelj, 2018): 1. Abilities related to the thinking process: a. creative thinking: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ability to approach an issue or problem from different points of view leading to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deeper and more complete understanding of the situation and at the same time helping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to identify alternative ways to approach it; b. analytic and reflective thinking: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processes of analysing and making judgments about what has happened; 2. Abilities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related to practical/organizational aspects of learning: organizational competences: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planning work, organizing resources, dealing with crises and solving problems,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getting the job done, measuring progress, taking calculated risks; 3. Self-related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abilities: a. the ability to concentrate for extended periods and reflect critically on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purposes and aims of learning; b. the ability to gain, process and assimilate new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knowledge and skills as well as to seek and make use of guidance and support; c. self-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management competences: being self-motivated, acting with confidence, managing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evaluating one’s learning, demonstrating flexibility, initiating; 4. Abilities related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to others: a. the ability to work collaboratively during the learning process; b.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improvement of social skills and communication competences; c. interpersonal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competences: empathy, consensus building, negotiating, diplomacy, conflict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management - resolving conflict, respecting others, being a team player; d. cultural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awareness and expression.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Building social competences at children implies learning certain behaviours,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adopting them and using them in life situations; adults, who possess certain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competences but need improvement may also benefit from games. The formal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informal education of children and adults plays a significant role in shaping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knowledge, skills and social competences, the latter of which are highly desirable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the context of the current labour market (Paczy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ń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ska-J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ę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drycka, 2016). The authors of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recent literature review on board games in education (Staudt Willet et al., 2018) have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highlighted several descriptions and associations of gaming in relation to education: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gaming is a multimodal literacy par excellence (Gee, 2007); games provide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opportunity to practice rhetoric and persuasion skills (Bogost, 2010);  games provide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problems to solve and lessons to learn (Squire, 2011); games are activities that may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result in finding solutions for real-life issues (McGonigal, 2011).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 the context of the need for life-long learning and of the need for learning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together, needs generated by an increasingly versatile and multicultural labour market,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board games in adult education are a viable solution to bring students together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keep them motivated to stay engaged in a process of learning with others and from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others.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Although the interest has been, for some time, mainly on the use of video games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education, in recent years there has been a rejuvenation of the focus on board games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as a result of a growing diversity of board games available on the market and of some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studies that have drawn attention to the opportunities provided by the use of board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 in (adult) education that are comparable and similar to those provided by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use of video games (Copeland, Henderson, Mayer, &amp; Nicholson, 2013; Greenhalgh,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2016). Board games player communities (for example, Board Game Geek - BGG;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https://boardgamegeek.com/)  encourage visitors to engage with board games by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“reading articles, becoming members, selling/buying/trading games, and posting game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reviews and comments to an existing database” (Staudt Willet et al., 2018: 1). Board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 player communities may provide valuable insight on how to look at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educational potential of board games. </w:t>
      </w:r>
    </w:p>
    <w:p>
      <w:pPr>
        <w:sectPr>
          <w:pgSz w:w="12240" w:h="15840"/>
          <w:pgMar w:top="334" w:right="1440" w:bottom="808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54</w:t>
      </w:r>
    </w:p>
    <w:p>
      <w:pPr>
        <w:autoSpaceDN w:val="0"/>
        <w:autoSpaceDE w:val="0"/>
        <w:widowControl/>
        <w:spacing w:line="226" w:lineRule="exact" w:before="482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Board games are tools able to provide hands-on and heads-on skill and knowledge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development for people of all ages on all subjects: well-designed games create an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engaging, nonthreatening yet competitive class atmosphere; while playing games,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students focus on content and reinforce and apply learning (Treher, 2011: 3). </w:t>
      </w:r>
    </w:p>
    <w:p>
      <w:pPr>
        <w:autoSpaceDN w:val="0"/>
        <w:autoSpaceDE w:val="0"/>
        <w:widowControl/>
        <w:spacing w:line="226" w:lineRule="exact" w:before="0" w:after="0"/>
        <w:ind w:left="768" w:right="720" w:firstLine="224"/>
        <w:jc w:val="left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board and the other tangible game elements (cards, dice etc.) act as visual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metaphors that support players / students in connecting information / content, thus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becoming vehicles for learning. The game strategy that includes questions, problems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to solve and challenging situations engage the students’ critical thinking, problem-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solving, information-organization and practical skills, enhancing peer learning; games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also provide the opportunity to diminish the risk of students with lower levels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knowledge to feel exposed.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questions that keep the game going check understanding and help identify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learning gaps or learning errors; also, board games are a great way to transform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abstract concepts into something more tangible and thus support acquisition of notions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otherwise difficult to teach. The demands of various learning styles may be addressed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through board games as well.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learning outcomes and impact of using board games in adult education may be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systematized as follows: 1. students learn how to face daily situations successfully; 2.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students exchange and learn how to exchange information and ideas,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communicate thoughts and feelings; 3. students build cultural awareness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expression, and intercultural competences; they understand better the way of life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mentalities of other peoples if the game provides an intercultural approach; 4.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teaching and learning is focused on the needs, motivations, characteristics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resources of the learner; 5. learners achieve the ability to define valid and realistic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objectives; 6. the learner builds the capacity of self-evaluation; game-based education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raises the learner’s awareness of the present level of his/her knowledge; 7. students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 how to identify, analyse and select the best strategies for work / team work /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group work, problem-solving, conflict management etc.; 8. learners build and develop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creative, analytic and reflective thinking, organizational competences, the ability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concentrate for extended periods of time, self-management competences; 9. students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 how to seek and make use of guidance and support, how to work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collaboratively; 10. students build and develop social skills and communication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competences, and interpersonal competences. </w:t>
      </w:r>
    </w:p>
    <w:p>
      <w:pPr>
        <w:autoSpaceDN w:val="0"/>
        <w:autoSpaceDE w:val="0"/>
        <w:widowControl/>
        <w:spacing w:line="224" w:lineRule="exact" w:before="224" w:after="0"/>
        <w:ind w:left="1436" w:right="0" w:firstLine="0"/>
        <w:jc w:val="left"/>
      </w:pP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>3.2.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Advantages and disadvantages of game-based learning </w:t>
      </w:r>
    </w:p>
    <w:p>
      <w:pPr>
        <w:autoSpaceDN w:val="0"/>
        <w:autoSpaceDE w:val="0"/>
        <w:widowControl/>
        <w:spacing w:line="226" w:lineRule="exact" w:before="228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 relation to Q3, from among the </w:t>
      </w:r>
      <w:r>
        <w:rPr>
          <w:w w:val="97.9929550834324"/>
          <w:rFonts w:ascii="Times" w:hAnsi="Times" w:eastAsia="Times"/>
          <w:b w:val="0"/>
          <w:i/>
          <w:color w:val="000000"/>
          <w:sz w:val="23"/>
        </w:rPr>
        <w:t xml:space="preserve">advantages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of GBL, we shall here present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ones that we consider to be most relevant: 1. GBL promotes a positive attitude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towards learning; 2. develops memory skills; 3. connects learners and helps them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build self-constructed learning; 4. involves all the students in a class in active learning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keeps them motivated; 5. supports experiential learning; 6. provides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transdisciplinary approach to education as students may work on multiple skills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related to various disciplines: research, problem-solving, leadership, team-work,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creativity, logics, taking decisions, adaptation, communicative and interaction skills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(Anderson et al. 2009; Whitton 2012; Cojocariu&amp;Boghian, 2014). </w:t>
      </w:r>
    </w:p>
    <w:p>
      <w:pPr>
        <w:autoSpaceDN w:val="0"/>
        <w:autoSpaceDE w:val="0"/>
        <w:widowControl/>
        <w:spacing w:line="188" w:lineRule="exact" w:before="28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From among the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disadvantages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of GBL, we have systematized those with which we have been faced </w:t>
      </w:r>
    </w:p>
    <w:p>
      <w:pPr>
        <w:autoSpaceDN w:val="0"/>
        <w:autoSpaceDE w:val="0"/>
        <w:widowControl/>
        <w:spacing w:line="228" w:lineRule="exact" w:before="0" w:after="0"/>
        <w:ind w:left="768" w:right="722" w:firstLine="0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in our teaching practice most often: 1. GBL may be time consuming; 2. time management may be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difficult during the game; 3. students’ failure to comply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with the deadline for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ending/completing the game may lead to discouragement and low self-esteem; 4.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risk that the beneficiaries may consider the game activity as fickle, which they would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be tempted not to address with responsibility and from the perspectives of learning; 5.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difficulty to identify if and what students have learnt, as well as possible flaws/gaps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evaluation.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Game-based learning (GBL) has been found to promote a positive attitude towards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learning and developing memory skills, along with its potential to connect learners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help them build self-constructed learning. GBL is a type of game play with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clearly defined learning outcomes: it combines subject matter with game play and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player’s ability to retain and apply the subject matter to the real world in a balanced </w:t>
      </w:r>
    </w:p>
    <w:p>
      <w:pPr>
        <w:sectPr>
          <w:pgSz w:w="12240" w:h="15840"/>
          <w:pgMar w:top="334" w:right="1440" w:bottom="6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55</w:t>
      </w:r>
    </w:p>
    <w:p>
      <w:pPr>
        <w:autoSpaceDN w:val="0"/>
        <w:autoSpaceDE w:val="0"/>
        <w:widowControl/>
        <w:spacing w:line="226" w:lineRule="exact" w:before="482" w:after="0"/>
        <w:ind w:left="768" w:right="72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way; it is approached in terms of educational method, didactic procedure, organization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of the teaching-learning activity. Modern theories of effective learning have shown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that learning is most effective when it is active, experiential, situated, problem-based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provides immediate feedback; games have all these features (Connolly et al.,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2012; Popescu, 2014).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Team-based board games help to build communication and relationship skills: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players work face-to-face to answer questions or solve problems and realise that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working together makes them better and faster at finding solutions and implementing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them. Board games are a great way to make players/adults become aware of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strengths of collaboration; in organizational settings, this awareness may really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transform working relationships for the better (Treher, 2011: 4).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Given the results of Q1, Q2 and Q3 systematized above, the answer to Q4 is that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advantages and the learning outcomes of using board games in education,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general and, more specifically, in adult education are relevant enough to support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further investigation into this topic and promote game-based learning activities. In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case of game-based (adult) education, the teacher’s role is that of a guide, cheerleader,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resource and support: game-based learning is learning from experience or learning by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doing. The teacher’s task is to select educational games appropriate to the students’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level of skills and general knowledge that need to be developed. </w:t>
      </w:r>
    </w:p>
    <w:p>
      <w:pPr>
        <w:autoSpaceDN w:val="0"/>
        <w:autoSpaceDE w:val="0"/>
        <w:widowControl/>
        <w:spacing w:line="226" w:lineRule="exact" w:before="224" w:after="0"/>
        <w:ind w:left="768" w:right="0" w:firstLine="0"/>
        <w:jc w:val="left"/>
      </w:pP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>4.</w:t>
      </w:r>
      <w:r>
        <w:rPr>
          <w:w w:val="97.9929550834324"/>
          <w:rFonts w:ascii="Times" w:hAnsi="Times" w:eastAsia="Times"/>
          <w:b/>
          <w:i w:val="0"/>
          <w:color w:val="000000"/>
          <w:sz w:val="23"/>
        </w:rPr>
        <w:t xml:space="preserve">Conclusions </w:t>
      </w:r>
    </w:p>
    <w:p>
      <w:pPr>
        <w:autoSpaceDN w:val="0"/>
        <w:autoSpaceDE w:val="0"/>
        <w:widowControl/>
        <w:spacing w:line="226" w:lineRule="exact" w:before="228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literature on using board games in education is yet scarce; however, there is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growing interest in approaching and studying the use of board games in education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adult education particularly, in the context of a versatile, globalised, multicultural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labour market and enhanced need for life-long learning.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We live longer, we learn more: life-long learning implies all the three modalities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 – formal, non-formal and informal (Hinzen, 2018). The most relevant idea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promoted by using board games in adult education is the fact that there is constantly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something new to learn and there is always something to learn with and from others.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Serious games can be used in all fields in which people need training and learning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and at all levels of education: games as forms of education are very popular in the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army, in the fields of safety, security, rescue and healthcare, i.e. in areas where it is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difficult to train people in real situations. Lately, the number of serious educational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games has also increased in the fields of public administration, governance,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management and other fields that require specific forms of communication,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negotiation and teamwork.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Game-based education provides learners with an experience, as well as a chance to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reflect on that experience and draw knowledge, build new attitudes, skills or ways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thinking based on it. The interdisciplinary and constructivist type of learning that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occurs during game-based education provides students with the opportunity to: make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mistakes without suffering real-life consequences; discover their personal relevance;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understand connections between reasons, actions, causes and effects; learn at their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own learning pace; reflect on their experience; undertake the role of leaders and act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accordingly (Rugelj, Jedrinovi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ć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&amp;Bev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č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i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č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, 2018). Board games provide all these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opportunities for students and learners of all ages. </w:t>
      </w:r>
    </w:p>
    <w:p>
      <w:pPr>
        <w:autoSpaceDN w:val="0"/>
        <w:autoSpaceDE w:val="0"/>
        <w:widowControl/>
        <w:spacing w:line="226" w:lineRule="exact" w:before="0" w:after="0"/>
        <w:ind w:left="768" w:right="722" w:firstLine="224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As more and more games have been designed for educational purposes by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interdisciplinary teams (experts in didactics and the selected subject areas, cognitive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psychology, graphic designers, videographers, programmers, advertising, marketing),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teachers have lately begun to participate in the design, testing and improvement of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educational games, along with groups of students that may provide useful feedback on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the games: the transnational Erasmus+GameIT project: Gamestorming for Innovative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Teaching(2017-2020) 3coordinated by the Philological School of Higher Education in </w:t>
      </w:r>
    </w:p>
    <w:p>
      <w:pPr>
        <w:autoSpaceDN w:val="0"/>
        <w:autoSpaceDE w:val="0"/>
        <w:widowControl/>
        <w:spacing w:line="202" w:lineRule="exact" w:before="520" w:after="0"/>
        <w:ind w:left="0" w:right="0" w:firstLine="0"/>
        <w:jc w:val="center"/>
      </w:pP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Acknowledgements: This work was supported by a grant of the Polish National Agency, through the </w:t>
      </w:r>
    </w:p>
    <w:p>
      <w:pPr>
        <w:autoSpaceDN w:val="0"/>
        <w:autoSpaceDE w:val="0"/>
        <w:widowControl/>
        <w:spacing w:line="188" w:lineRule="exact" w:before="28" w:after="0"/>
        <w:ind w:left="0" w:right="0" w:firstLine="0"/>
        <w:jc w:val="center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“GameIT: Gamestorming for Innovative Teaching” under the Erasmus+ programme KA203, No. 2017-</w:t>
      </w:r>
    </w:p>
    <w:p>
      <w:pPr>
        <w:autoSpaceDN w:val="0"/>
        <w:autoSpaceDE w:val="0"/>
        <w:widowControl/>
        <w:spacing w:line="188" w:lineRule="exact" w:before="28" w:after="0"/>
        <w:ind w:left="768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1-PL01-KA203-038535, 2017-2010. </w:t>
      </w:r>
    </w:p>
    <w:p>
      <w:pPr>
        <w:sectPr>
          <w:pgSz w:w="12240" w:h="15840"/>
          <w:pgMar w:top="334" w:right="1440" w:bottom="6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56</w:t>
      </w:r>
    </w:p>
    <w:p>
      <w:pPr>
        <w:autoSpaceDN w:val="0"/>
        <w:autoSpaceDE w:val="0"/>
        <w:widowControl/>
        <w:spacing w:line="226" w:lineRule="exact" w:before="482" w:after="0"/>
        <w:ind w:left="768" w:right="722" w:firstLine="0"/>
        <w:jc w:val="both"/>
      </w:pP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Wroclaw, Poland4, brings together teachers, experts in management, advertising and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IT and students from three other partner institutions: the Vasile Alecsandri University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>of Bac</w:t>
      </w:r>
      <w:r>
        <w:rPr>
          <w:w w:val="97.9929550834324"/>
          <w:rFonts w:ascii="TimesNewRoman" w:hAnsi="TimesNewRoman" w:eastAsia="TimesNewRoman"/>
          <w:b w:val="0"/>
          <w:i w:val="0"/>
          <w:color w:val="000000"/>
          <w:sz w:val="23"/>
        </w:rPr>
        <w:t>ӑ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u, Romania; the University of Ljubljana, Slovenia; the Western Norway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University of Applied Sciences, Norway. One of the major results5 of the project is a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board game aimed at shaping and developing creative thinking, communication,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intercultural awareness and cooperative skills at adult learners, with application in </w:t>
      </w:r>
      <w:r>
        <w:rPr>
          <w:w w:val="97.9929550834324"/>
          <w:rFonts w:ascii="Times" w:hAnsi="Times" w:eastAsia="Times"/>
          <w:b w:val="0"/>
          <w:i w:val="0"/>
          <w:color w:val="000000"/>
          <w:sz w:val="23"/>
        </w:rPr>
        <w:t xml:space="preserve">academic classes. </w:t>
      </w:r>
    </w:p>
    <w:p>
      <w:pPr>
        <w:autoSpaceDN w:val="0"/>
        <w:autoSpaceDE w:val="0"/>
        <w:widowControl/>
        <w:spacing w:line="186" w:lineRule="exact" w:before="466" w:after="0"/>
        <w:ind w:left="768" w:right="0" w:firstLine="0"/>
        <w:jc w:val="left"/>
      </w:pPr>
      <w:r>
        <w:rPr>
          <w:w w:val="98.45737658048931"/>
          <w:rFonts w:ascii="Times" w:hAnsi="Times" w:eastAsia="Times"/>
          <w:b/>
          <w:i w:val="0"/>
          <w:color w:val="000000"/>
          <w:sz w:val="19"/>
        </w:rPr>
        <w:t xml:space="preserve">References </w:t>
      </w:r>
    </w:p>
    <w:p>
      <w:pPr>
        <w:autoSpaceDN w:val="0"/>
        <w:tabs>
          <w:tab w:pos="1330" w:val="left"/>
          <w:tab w:pos="2602" w:val="left"/>
          <w:tab w:pos="3580" w:val="left"/>
          <w:tab w:pos="4100" w:val="left"/>
          <w:tab w:pos="4832" w:val="left"/>
          <w:tab w:pos="5942" w:val="left"/>
          <w:tab w:pos="6806" w:val="left"/>
          <w:tab w:pos="7882" w:val="left"/>
          <w:tab w:pos="8534" w:val="left"/>
        </w:tabs>
        <w:autoSpaceDE w:val="0"/>
        <w:widowControl/>
        <w:spacing w:line="216" w:lineRule="exact" w:before="184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Anderson, O., B., Anderson, N., M., Taylor, A., T. (2009). New Territories in Adult Education: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Game-Based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Learning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for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Adult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Education.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Adult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Education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Research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Conference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.http://www.adulterc.org/Proceedings/2009/proceedings/anderson_etal.pdf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Accessed March 26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Bogost, I. (2010).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Persuasive games: The expressive power of videogames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Cambridge, MA: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MIT Press.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2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3.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Bowman, S. L. (2010). The functions of role-playing games: How participants create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community, solve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problems and explore identity. Jefferson, NC: McFarland.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4.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Castell, S. (2011).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Ludic Epistemology: What Game-Based Learning Can Teach Curriculum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Studies. 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Journal of the Canadian Association for Curriculum Studies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,8(2), pp. 19-27.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2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Cojocariu, V.-M. (Coord.), Boghian, I., Lupu, C., Mâ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ţӑ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, L., Nedelcu, C., Pu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ca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u, D., Savin, P.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(2017).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Jocurididacticeminunate din diferiteizvoareadunate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. Bucure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ti: EdituraMiniped. </w:t>
      </w:r>
    </w:p>
    <w:p>
      <w:pPr>
        <w:autoSpaceDN w:val="0"/>
        <w:autoSpaceDE w:val="0"/>
        <w:widowControl/>
        <w:spacing w:line="216" w:lineRule="exact" w:before="0" w:after="0"/>
        <w:ind w:left="864" w:right="730" w:firstLine="0"/>
        <w:jc w:val="righ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6.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Cojocariu, V.-M., Boghian, I. (2014). Teaching the Relevance of Game-Based Learning to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Preschool and Primary Teachers. 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Procedia-Social and Behavioral Sciences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142, pp. 640-646.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7.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Charlier, N., Ott, M., Remmelle, B., Whitton, N. (2012). Not just for children: game-based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learning for older adults. 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Proceedings of the European Conference on Games Based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Learning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pp. 102-109. </w:t>
      </w:r>
    </w:p>
    <w:p>
      <w:pPr>
        <w:autoSpaceDN w:val="0"/>
        <w:autoSpaceDE w:val="0"/>
        <w:widowControl/>
        <w:spacing w:line="216" w:lineRule="exact" w:before="0" w:after="0"/>
        <w:ind w:left="1330" w:right="730" w:hanging="338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8.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Connolly, M., Th., Boyle, A., E., MacArthur, E., Hainey, Th., Boyle, M., J. (2012). A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systematic literature review of empirical evidence on computer games and serious games.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Computers &amp; Education</w:t>
      </w:r>
      <w:r>
        <w:rPr>
          <w:w w:val="98.45737658048931"/>
          <w:rFonts w:ascii="Times" w:hAnsi="Times" w:eastAsia="Times"/>
          <w:b/>
          <w:i w:val="0"/>
          <w:color w:val="000000"/>
          <w:sz w:val="19"/>
        </w:rPr>
        <w:t xml:space="preserve">,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59(2), pp. 661–686.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9.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Copeland, T., Henderson, B., Mayer, B., &amp; Nicholson, S. (2013). Three different paths for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tabletop gaming in school libraries. 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Library Trends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61, pp. 825-835. </w:t>
      </w:r>
    </w:p>
    <w:p>
      <w:pPr>
        <w:autoSpaceDN w:val="0"/>
        <w:autoSpaceDE w:val="0"/>
        <w:widowControl/>
        <w:spacing w:line="212" w:lineRule="exact" w:before="6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10.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Dumitriu, C. (2011).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Psihopedagogiajocului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. Bac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ă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u: Alma Mater.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11.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Erhel, S., Jamet, E. (2013) Digital game-based learning: Impact of instructions and feedback on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motivation and learning effectiveness,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Computers &amp; Education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,67, pp. 156-167.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12.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Gee, J. P. (2007).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What video games have to teach us about learning and literacy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New York,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NY: Palgrave MacMillan.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13.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Greenhalgh, S. P. (2016). Affordances and constraints of analog games for ethics education: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Dilemmas and dragons. In K. D. Valentine &amp; L. J. Jensen (Eds.),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Examining the evolution of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gaming and its impact on social, cultural and political perspectives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Hershey, PA: IGI Global.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14.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Hinzen, H. (2018).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Skills and values in adult education and lifelong learning. Comparing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commitments, documents and recommendations at global level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Keynote Addressdelivered at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the 5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International Conference on Adult Education, Ia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i, Romania-Chi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ş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in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ӑ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u, Moldova, April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25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– 28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2018. </w:t>
      </w:r>
    </w:p>
    <w:p>
      <w:pPr>
        <w:autoSpaceDN w:val="0"/>
        <w:tabs>
          <w:tab w:pos="2776" w:val="left"/>
          <w:tab w:pos="3832" w:val="left"/>
          <w:tab w:pos="4872" w:val="left"/>
          <w:tab w:pos="6278" w:val="left"/>
          <w:tab w:pos="8054" w:val="left"/>
        </w:tabs>
        <w:autoSpaceDE w:val="0"/>
        <w:widowControl/>
        <w:spacing w:line="188" w:lineRule="exact" w:before="28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15.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Keesee,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S.,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G.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(2012).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Educational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games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</w:t>
      </w:r>
    </w:p>
    <w:p>
      <w:pPr>
        <w:autoSpaceDN w:val="0"/>
        <w:tabs>
          <w:tab w:pos="8536" w:val="left"/>
        </w:tabs>
        <w:autoSpaceDE w:val="0"/>
        <w:widowControl/>
        <w:spacing w:line="216" w:lineRule="exact" w:before="0" w:after="0"/>
        <w:ind w:left="1330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http://teachinglearningresources.pbworks.com/w/page/35130965/Educational%20Games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Accessed March 26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16.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Mâ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L. &amp;Cojocariu V.-M. (2011).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Ghid de elaborare a jocului didactic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, Bac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ă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u: Alma Mater.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17.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McGonigal, J. (2011).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Reality is broken: Why games make us better and how they can change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the world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New York, NY: Penguin Books.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18.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Milczynski, K. A. (2011). Literature Review: Effectiveness of Gaming in the Classroom.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Michigan State University.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19.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Paczy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ń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ska-J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ę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drycka, M. (2016). Outdoor games and playtime versus social competences of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children and youth. In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HANDEL WEWN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Ę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TRZNY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6(365), pp. 309-318. </w:t>
      </w:r>
    </w:p>
    <w:p>
      <w:pPr>
        <w:autoSpaceDN w:val="0"/>
        <w:autoSpaceDE w:val="0"/>
        <w:widowControl/>
        <w:spacing w:line="202" w:lineRule="exact" w:before="552" w:after="0"/>
        <w:ind w:left="768" w:right="0" w:firstLine="0"/>
        <w:jc w:val="left"/>
      </w:pP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https://www.wsf.edu.pl/wspolpraca-z-zagranica,gameit.xml, Accessed September 4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autoSpaceDN w:val="0"/>
        <w:autoSpaceDE w:val="0"/>
        <w:widowControl/>
        <w:spacing w:line="216" w:lineRule="exact" w:before="0" w:after="0"/>
        <w:ind w:left="768" w:right="720" w:firstLine="0"/>
        <w:jc w:val="left"/>
      </w:pP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https://www.researchgate.net/project/GameIT-Gamestorming-for-Innovative-Teaching , , Accessed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September 4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sectPr>
          <w:pgSz w:w="12240" w:h="15840"/>
          <w:pgMar w:top="334" w:right="1440" w:bottom="6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8702" w:val="left"/>
        </w:tabs>
        <w:autoSpaceDE w:val="0"/>
        <w:widowControl/>
        <w:spacing w:line="210" w:lineRule="exact" w:before="0" w:after="0"/>
        <w:ind w:left="1580" w:right="0" w:firstLine="0"/>
        <w:jc w:val="left"/>
      </w:pP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Boghian, Cojocariu, Popescu, Mâ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ță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/Journal of Educational Sciences and Psychology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57</w:t>
      </w:r>
    </w:p>
    <w:p>
      <w:pPr>
        <w:autoSpaceDN w:val="0"/>
        <w:autoSpaceDE w:val="0"/>
        <w:widowControl/>
        <w:spacing w:line="214" w:lineRule="exact" w:before="476" w:after="0"/>
        <w:ind w:left="1330" w:right="730" w:hanging="338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20.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Popescu, C.-V. (2014). Web 2 resources for teaching Matlab. In P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ӑ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tru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ţ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B., Andone, D.,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Holotescu, C, Grossek, G. (Eds.),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Social Media in Academia: Reseach and Teaching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Bologna,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Italy_ Medimond, pp. 79-82. </w:t>
      </w:r>
    </w:p>
    <w:p>
      <w:pPr>
        <w:autoSpaceDN w:val="0"/>
        <w:tabs>
          <w:tab w:pos="1330" w:val="left"/>
        </w:tabs>
        <w:autoSpaceDE w:val="0"/>
        <w:widowControl/>
        <w:spacing w:line="218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21.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Prensky, M. (2001). Fun, Play and Games: What Makes Games Engaging. In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Digital Game-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Based Learning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New York: McGraw-Hill.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22.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Rugelj, J. (2018).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Games and Learning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. Lifelong Learning Programme. University of Ljubljana.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23.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Rugelj, J., Jedrinovi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ć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, S., Bev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č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</w:t>
      </w:r>
      <w:r>
        <w:rPr>
          <w:w w:val="98.45737658048931"/>
          <w:rFonts w:ascii="TimesNewRoman" w:hAnsi="TimesNewRoman" w:eastAsia="TimesNewRoman"/>
          <w:b w:val="0"/>
          <w:i w:val="0"/>
          <w:color w:val="000000"/>
          <w:sz w:val="19"/>
        </w:rPr>
        <w:t>č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M. (2018).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A comprehensive model of a cooperative role-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playing game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. Work in progress.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24.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Rugelj, J. (2016). Serious Computer Games Design for Active Learning in Teacher Education.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In C. Vaz de Carvalho et al. (Eds.):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SGAMES 2015, LNICST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161, pp. 1–9. </w:t>
      </w:r>
    </w:p>
    <w:p>
      <w:pPr>
        <w:autoSpaceDN w:val="0"/>
        <w:autoSpaceDE w:val="0"/>
        <w:widowControl/>
        <w:spacing w:line="190" w:lineRule="exact" w:before="26" w:after="14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25.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Rugelj, J. (2015). Serious computer games in computer science education. In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EAI Endorsed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1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0" w:right="404" w:firstLine="0"/>
              <w:jc w:val="right"/>
            </w:pPr>
            <w:r>
              <w:rPr>
                <w:w w:val="98.45737658048931"/>
                <w:rFonts w:ascii="Times" w:hAnsi="Times" w:eastAsia="Times"/>
                <w:b w:val="0"/>
                <w:i/>
                <w:color w:val="000000"/>
                <w:sz w:val="19"/>
              </w:rPr>
              <w:t xml:space="preserve">Transactions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/>
                <w:color w:val="000000"/>
                <w:sz w:val="19"/>
              </w:rPr>
              <w:t xml:space="preserve">on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/>
                <w:color w:val="000000"/>
                <w:sz w:val="19"/>
              </w:rPr>
              <w:t xml:space="preserve">Serious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/>
                <w:color w:val="000000"/>
                <w:sz w:val="19"/>
              </w:rPr>
              <w:t>Games</w:t>
            </w:r>
            <w:r>
              <w:rPr>
                <w:w w:val="98.45737658048931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2(6),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0" w:firstLine="0"/>
              <w:jc w:val="center"/>
            </w:pPr>
            <w:r>
              <w:rPr>
                <w:w w:val="98.45737658048931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e6.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1330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https://www.researchgate.net/publication/283567970_Serious_computer_games_in_computer_s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cience_education . Accessed September 4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26.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Squire, K. (2011).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Video games and learning: Teaching and participatory culture in the digital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age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New York, NY: Teachers College Press. </w:t>
      </w:r>
    </w:p>
    <w:p>
      <w:pPr>
        <w:autoSpaceDN w:val="0"/>
        <w:autoSpaceDE w:val="0"/>
        <w:widowControl/>
        <w:spacing w:line="188" w:lineRule="exact" w:before="30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27.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Staudt Willet, K. B., Moudgalya, S. K., Owens Boltz, L., Greenhalgh, S. P., Koehler, M. J. </w:t>
      </w:r>
    </w:p>
    <w:p>
      <w:pPr>
        <w:autoSpaceDN w:val="0"/>
        <w:autoSpaceDE w:val="0"/>
        <w:widowControl/>
        <w:spacing w:line="216" w:lineRule="exact" w:before="0" w:after="0"/>
        <w:ind w:left="1330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(2018).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Back to the Gaming Board: Understanding Games and Education through Board Game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Reviews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Conference paper presented at SITE 2018 Conference, Washington DC. </w:t>
      </w:r>
    </w:p>
    <w:p>
      <w:pPr>
        <w:autoSpaceDN w:val="0"/>
        <w:tabs>
          <w:tab w:pos="2074" w:val="left"/>
          <w:tab w:pos="2456" w:val="left"/>
          <w:tab w:pos="2818" w:val="left"/>
          <w:tab w:pos="3566" w:val="left"/>
          <w:tab w:pos="4452" w:val="left"/>
          <w:tab w:pos="4976" w:val="left"/>
          <w:tab w:pos="5642" w:val="left"/>
          <w:tab w:pos="6412" w:val="left"/>
          <w:tab w:pos="6904" w:val="left"/>
          <w:tab w:pos="7780" w:val="left"/>
          <w:tab w:pos="8292" w:val="left"/>
        </w:tabs>
        <w:autoSpaceDE w:val="0"/>
        <w:widowControl/>
        <w:spacing w:line="190" w:lineRule="exact" w:before="24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28.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Treher,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N.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E.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(2011).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Learning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with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Board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Games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The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Learning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Key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Inc. </w:t>
      </w:r>
    </w:p>
    <w:p>
      <w:pPr>
        <w:autoSpaceDN w:val="0"/>
        <w:tabs>
          <w:tab w:pos="8536" w:val="left"/>
        </w:tabs>
        <w:autoSpaceDE w:val="0"/>
        <w:widowControl/>
        <w:spacing w:line="216" w:lineRule="exact" w:before="0" w:after="0"/>
        <w:ind w:left="1330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https://www.thelearningkey.com/pdf/Board_Games_TLKWhitePaper_May16_2011.pdf </w:t>
      </w:r>
      <w:r>
        <w:tab/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Accessed March 26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autoSpaceDN w:val="0"/>
        <w:tabs>
          <w:tab w:pos="1330" w:val="left"/>
        </w:tabs>
        <w:autoSpaceDE w:val="0"/>
        <w:widowControl/>
        <w:spacing w:line="216" w:lineRule="exact" w:before="0" w:after="0"/>
        <w:ind w:left="992" w:right="72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29.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Whitton, N. (2012). The place of game-based learning in an age of austerity.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Electronic Journal </w:t>
      </w:r>
      <w:r>
        <w:tab/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of E-Learning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Volume 10, Issue 2, pp. 249-256. </w:t>
      </w:r>
    </w:p>
    <w:p>
      <w:pPr>
        <w:autoSpaceDN w:val="0"/>
        <w:autoSpaceDE w:val="0"/>
        <w:widowControl/>
        <w:spacing w:line="216" w:lineRule="exact" w:before="2" w:after="0"/>
        <w:ind w:left="1330" w:right="730" w:hanging="338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30.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Zalka, C. V. (2012). “Adventures in the Classroom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: Creating Role-Playing Games Bas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ed on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Traditional Stories for the High School Curriculum”.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Electronic T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heses and Dissertations.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Paper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1469. https://dc.etsu.edu/etd/1469. Accessed September 4th, 2018.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 </w:t>
      </w:r>
    </w:p>
    <w:p>
      <w:pPr>
        <w:autoSpaceDN w:val="0"/>
        <w:autoSpaceDE w:val="0"/>
        <w:widowControl/>
        <w:spacing w:line="216" w:lineRule="exact" w:before="0" w:after="0"/>
        <w:ind w:left="1330" w:right="730" w:hanging="338"/>
        <w:jc w:val="both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31.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***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 xml:space="preserve"> Recommendation of the European Parliament and of the Council of 18 December 2006 on </w:t>
      </w:r>
      <w:r>
        <w:rPr>
          <w:w w:val="98.45737658048931"/>
          <w:rFonts w:ascii="Times" w:hAnsi="Times" w:eastAsia="Times"/>
          <w:b w:val="0"/>
          <w:i/>
          <w:color w:val="000000"/>
          <w:sz w:val="19"/>
        </w:rPr>
        <w:t>key competences for lifelong learning (2006/962/EC)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. (2006). The European Parliament and the 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Council of the European Union. </w:t>
      </w:r>
    </w:p>
    <w:p>
      <w:pPr>
        <w:autoSpaceDN w:val="0"/>
        <w:autoSpaceDE w:val="0"/>
        <w:widowControl/>
        <w:spacing w:line="202" w:lineRule="exact" w:before="14" w:after="0"/>
        <w:ind w:left="992" w:right="0" w:firstLine="0"/>
        <w:jc w:val="left"/>
      </w:pP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32.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>***https://boardgamegeek.com/. Accessed September 4</w:t>
      </w:r>
      <w:r>
        <w:rPr>
          <w:w w:val="101.4178991317749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w w:val="98.45737658048931"/>
          <w:rFonts w:ascii="Times" w:hAnsi="Times" w:eastAsia="Times"/>
          <w:b w:val="0"/>
          <w:i w:val="0"/>
          <w:color w:val="000000"/>
          <w:sz w:val="19"/>
        </w:rPr>
        <w:t xml:space="preserve">, 2018. </w:t>
      </w:r>
    </w:p>
    <w:p>
      <w:pPr>
        <w:sectPr>
          <w:pgSz w:w="12240" w:h="15840"/>
          <w:pgMar w:top="334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Copyright of Journal of Educational Sciences &amp; Psychology is the property of Petroleum -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Gas University of Ploiesti and its content may not be copied or emailed to multiple sites or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posted to a listserv without the copyright holder's express written permission. However, users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may print, download, or email articles for individual use.</w:t>
      </w:r>
    </w:p>
    <w:sectPr w:rsidR="00FC693F" w:rsidRPr="0006063C" w:rsidSect="00034616">
      <w:pgSz w:w="11906" w:h="16838"/>
      <w:pgMar w:top="694" w:right="1440" w:bottom="1440" w:left="1418" w:header="720" w:footer="720" w:gutter="0"/>
      <w:cols w:space="720" w:num="1" w:equalWidth="0">
        <w:col w:w="9048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