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9867900</wp:posOffset>
            </wp:positionV>
            <wp:extent cx="2705100" cy="3683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2119630</wp:posOffset>
            </wp:positionH>
            <wp:positionV relativeFrom="page">
              <wp:posOffset>10030460</wp:posOffset>
            </wp:positionV>
            <wp:extent cx="582930" cy="206454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" cy="20645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457200</wp:posOffset>
            </wp:positionH>
            <wp:positionV relativeFrom="page">
              <wp:posOffset>317500</wp:posOffset>
            </wp:positionV>
            <wp:extent cx="6654800" cy="292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454659</wp:posOffset>
            </wp:positionH>
            <wp:positionV relativeFrom="page">
              <wp:posOffset>326390</wp:posOffset>
            </wp:positionV>
            <wp:extent cx="264160" cy="248436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60" cy="2484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6" w:lineRule="exact" w:before="0" w:after="462"/>
        <w:ind w:left="0" w:right="20" w:firstLine="0"/>
        <w:jc w:val="right"/>
      </w:pPr>
      <w:r>
        <w:rPr>
          <w:rFonts w:ascii="Musee" w:hAnsi="Musee" w:eastAsia="Musee"/>
          <w:b w:val="0"/>
          <w:i w:val="0"/>
          <w:color w:val="626366"/>
          <w:sz w:val="25"/>
        </w:rPr>
        <w:t>Journal of Psychology and Clinical Psychiatry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3736"/>
        <w:gridCol w:w="3736"/>
        <w:gridCol w:w="3736"/>
      </w:tblGrid>
      <w:tr>
        <w:trPr>
          <w:trHeight w:hRule="exact" w:val="446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4" w:after="0"/>
              <w:ind w:left="432" w:right="0" w:firstLine="0"/>
              <w:jc w:val="left"/>
            </w:pPr>
            <w:r>
              <w:rPr>
                <w:rFonts w:ascii="GillSansMT" w:hAnsi="GillSansMT" w:eastAsia="GillSansMT"/>
                <w:b w:val="0"/>
                <w:i w:val="0"/>
                <w:color w:val="403F41"/>
                <w:sz w:val="18"/>
              </w:rPr>
              <w:t>Review Article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22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1129" cy="21335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29" cy="2133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illSansMT" w:hAnsi="GillSansMT" w:eastAsia="GillSansMT"/>
                <w:b w:val="0"/>
                <w:i w:val="0"/>
                <w:color w:val="626366"/>
                <w:sz w:val="14"/>
              </w:rPr>
              <w:t>Open Access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24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45820" cy="24256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2425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932" w:val="left"/>
          <w:tab w:pos="7244" w:val="left"/>
        </w:tabs>
        <w:autoSpaceDE w:val="0"/>
        <w:widowControl/>
        <w:spacing w:line="322" w:lineRule="auto" w:before="4" w:after="128"/>
        <w:ind w:left="848" w:right="0" w:firstLine="0"/>
        <w:jc w:val="left"/>
      </w:pPr>
      <w:r>
        <w:rPr>
          <w:rFonts w:ascii="GillSansMT" w:hAnsi="GillSansMT" w:eastAsia="GillSansMT"/>
          <w:b w:val="0"/>
          <w:i w:val="0"/>
          <w:color w:val="095F9C"/>
          <w:sz w:val="48"/>
        </w:rPr>
        <w:t>Harry potter and the tutors of resilience: an a</w:t>
      </w:r>
      <w:r>
        <w:rPr>
          <w:rFonts w:ascii="GillSansMT" w:hAnsi="GillSansMT" w:eastAsia="GillSansMT"/>
          <w:b w:val="0"/>
          <w:i w:val="0"/>
          <w:color w:val="095F9C"/>
          <w:sz w:val="48"/>
        </w:rPr>
        <w:hyperlink r:id="rId11" w:history="1">
          <w:r>
            <w:rPr>
              <w:rStyle w:val="Hyperlink"/>
            </w:rPr>
            <w:t xml:space="preserve">nalytic </w:t>
          </w:r>
        </w:hyperlink>
      </w:r>
      <w:r>
        <w:rPr>
          <w:rFonts w:ascii="GillSansMT" w:hAnsi="GillSansMT" w:eastAsia="GillSansMT"/>
          <w:b w:val="0"/>
          <w:i w:val="0"/>
          <w:color w:val="095F9C"/>
          <w:sz w:val="48"/>
        </w:rPr>
        <w:t xml:space="preserve">view of j. k. rolling tales </w:t>
      </w:r>
      <w:r>
        <w:br/>
      </w:r>
      <w:r>
        <w:rPr>
          <w:rFonts w:ascii="GillSansMT" w:hAnsi="GillSansMT" w:eastAsia="GillSansMT"/>
          <w:b/>
          <w:i w:val="0"/>
          <w:color w:val="F37331"/>
          <w:sz w:val="18"/>
        </w:rPr>
        <w:t xml:space="preserve">Abstract </w:t>
      </w:r>
      <w:r>
        <w:tab/>
      </w:r>
      <w:r>
        <w:rPr>
          <w:rFonts w:ascii="GillSansMT" w:hAnsi="GillSansMT" w:eastAsia="GillSansMT"/>
          <w:b w:val="0"/>
          <w:i w:val="0"/>
          <w:color w:val="403F41"/>
          <w:sz w:val="16"/>
        </w:rPr>
        <w:t>Volume 8 Issue 3 - 2017</w:t>
      </w:r>
    </w:p>
    <w:p>
      <w:pPr>
        <w:sectPr>
          <w:pgSz w:w="11906" w:h="16838"/>
          <w:pgMar w:top="272" w:right="698" w:bottom="376" w:left="0" w:header="720" w:footer="720" w:gutter="0"/>
          <w:cols w:space="720" w:num="1" w:equalWidth="0"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932" w:right="23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The present work aims to symbolically analyze both the literary and the cinematographic </w:t>
      </w:r>
      <w:r>
        <w:rPr>
          <w:rFonts w:ascii="TimesNewRomanPS" w:hAnsi="TimesNewRomanPS" w:eastAsia="TimesNewRomanPS"/>
          <w:b w:val="0"/>
          <w:i/>
          <w:color w:val="403F41"/>
          <w:sz w:val="16"/>
        </w:rPr>
        <w:t xml:space="preserve">Harry </w:t>
      </w:r>
      <w:r>
        <w:rPr>
          <w:rFonts w:ascii="TimesNewRomanPS" w:hAnsi="TimesNewRomanPS" w:eastAsia="TimesNewRomanPS"/>
          <w:b w:val="0"/>
          <w:i/>
          <w:color w:val="403F41"/>
          <w:sz w:val="16"/>
        </w:rPr>
        <w:t xml:space="preserve">Potter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series in accordance with the framework of analytical psychology. Throughout the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process described, “the boy who lived” symbolizes the injured child, who meets tutors of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resilience while attending school. These encounters helped him to confront his wounds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and consolidate his identity. At the end of the saga, our hero gives up the unlimited power,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 xml:space="preserve">overcomes the wound and the defenses, and succeeds in a mature relationship from which a 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>child is born whose name carries the promise of peace and balance to the whole community.</w:t>
      </w:r>
    </w:p>
    <w:p>
      <w:pPr>
        <w:autoSpaceDN w:val="0"/>
        <w:autoSpaceDE w:val="0"/>
        <w:widowControl/>
        <w:spacing w:line="240" w:lineRule="auto" w:before="134" w:after="0"/>
        <w:ind w:left="932" w:right="0" w:firstLine="0"/>
        <w:jc w:val="left"/>
      </w:pPr>
      <w:r>
        <w:rPr>
          <w:rFonts w:ascii="GillSansMT" w:hAnsi="GillSansMT" w:eastAsia="GillSansMT"/>
          <w:b/>
          <w:i w:val="0"/>
          <w:color w:val="F37331"/>
          <w:sz w:val="18"/>
        </w:rPr>
        <w:t>Keywords:</w:t>
      </w:r>
      <w:r>
        <w:rPr>
          <w:rFonts w:ascii="TimesNewRomanPSMT" w:hAnsi="TimesNewRomanPSMT" w:eastAsia="TimesNewRomanPSMT"/>
          <w:b w:val="0"/>
          <w:i w:val="0"/>
          <w:color w:val="403F41"/>
          <w:sz w:val="16"/>
        </w:rPr>
        <w:t>adolescence, hero, anima/animus, literature, narcissism, trauma</w:t>
      </w:r>
    </w:p>
    <w:p>
      <w:pPr>
        <w:sectPr>
          <w:type w:val="continuous"/>
          <w:pgSz w:w="11906" w:h="16838"/>
          <w:pgMar w:top="272" w:right="698" w:bottom="376" w:left="0" w:header="720" w:footer="720" w:gutter="0"/>
          <w:cols w:space="720" w:num="2" w:equalWidth="0"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236" w:right="288" w:firstLine="0"/>
        <w:jc w:val="left"/>
      </w:pPr>
      <w:r>
        <w:rPr>
          <w:rFonts w:ascii="GillSansMT" w:hAnsi="GillSansMT" w:eastAsia="GillSansMT"/>
          <w:b w:val="0"/>
          <w:i w:val="0"/>
          <w:color w:val="000000"/>
          <w:sz w:val="20"/>
        </w:rPr>
        <w:t xml:space="preserve">Fernanda G Moreira </w:t>
      </w:r>
      <w:r>
        <w:br/>
      </w:r>
      <w:r>
        <w:rPr>
          <w:rFonts w:ascii="GillSansMT" w:hAnsi="GillSansMT" w:eastAsia="GillSansMT"/>
          <w:b w:val="0"/>
          <w:i w:val="0"/>
          <w:color w:val="403F41"/>
          <w:sz w:val="14"/>
        </w:rPr>
        <w:t xml:space="preserve">Department of Psychiatry and Psychotherapy, Federal University </w:t>
      </w:r>
      <w:r>
        <w:rPr>
          <w:rFonts w:ascii="GillSansMT" w:hAnsi="GillSansMT" w:eastAsia="GillSansMT"/>
          <w:b w:val="0"/>
          <w:i w:val="0"/>
          <w:color w:val="403F41"/>
          <w:sz w:val="14"/>
        </w:rPr>
        <w:t>of Sao Paulo, Brazil</w:t>
      </w:r>
    </w:p>
    <w:p>
      <w:pPr>
        <w:autoSpaceDN w:val="0"/>
        <w:autoSpaceDE w:val="0"/>
        <w:widowControl/>
        <w:spacing w:line="240" w:lineRule="auto" w:before="198" w:after="0"/>
        <w:ind w:left="236" w:right="288" w:firstLine="0"/>
        <w:jc w:val="left"/>
      </w:pPr>
      <w:r>
        <w:rPr>
          <w:rFonts w:ascii="GillSansMT" w:hAnsi="GillSansMT" w:eastAsia="GillSansMT"/>
          <w:b/>
          <w:i w:val="0"/>
          <w:color w:val="000000"/>
          <w:sz w:val="14"/>
        </w:rPr>
        <w:t xml:space="preserve">Correspondence: </w:t>
      </w:r>
      <w:r>
        <w:rPr>
          <w:rFonts w:ascii="GillSansMT" w:hAnsi="GillSansMT" w:eastAsia="GillSansMT"/>
          <w:b w:val="0"/>
          <w:i w:val="0"/>
          <w:color w:val="403F41"/>
          <w:sz w:val="14"/>
        </w:rPr>
        <w:t xml:space="preserve">Fernanda G Moreira, Department of </w:t>
      </w:r>
      <w:r>
        <w:rPr>
          <w:rFonts w:ascii="GillSansMT" w:hAnsi="GillSansMT" w:eastAsia="GillSansMT"/>
          <w:b w:val="0"/>
          <w:i w:val="0"/>
          <w:color w:val="403F41"/>
          <w:sz w:val="14"/>
        </w:rPr>
        <w:t xml:space="preserve">Psychiatry and Psychotherapy, Federal University of Sao Paulo, </w:t>
      </w:r>
      <w:r>
        <w:rPr>
          <w:rFonts w:ascii="GillSansMT" w:hAnsi="GillSansMT" w:eastAsia="GillSansMT"/>
          <w:b w:val="0"/>
          <w:i w:val="0"/>
          <w:color w:val="403F41"/>
          <w:sz w:val="14"/>
        </w:rPr>
        <w:t xml:space="preserve">Brazil, Email </w:t>
      </w:r>
      <w:r>
        <w:drawing>
          <wp:inline xmlns:a="http://schemas.openxmlformats.org/drawingml/2006/main" xmlns:pic="http://schemas.openxmlformats.org/drawingml/2006/picture">
            <wp:extent cx="901700" cy="88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88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70" w:after="290"/>
        <w:ind w:left="236" w:right="432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4"/>
        </w:rPr>
        <w:t xml:space="preserve">Received: </w:t>
      </w:r>
      <w:r>
        <w:rPr>
          <w:rFonts w:ascii="GillSansMT" w:hAnsi="GillSansMT" w:eastAsia="GillSansMT"/>
          <w:b w:val="0"/>
          <w:i w:val="0"/>
          <w:color w:val="221F1F"/>
          <w:sz w:val="14"/>
        </w:rPr>
        <w:t xml:space="preserve">November 10, 2017 </w:t>
      </w:r>
      <w:r>
        <w:rPr>
          <w:rFonts w:ascii="GillSansMT" w:hAnsi="GillSansMT" w:eastAsia="GillSansMT"/>
          <w:b w:val="0"/>
          <w:i w:val="0"/>
          <w:color w:val="000000"/>
          <w:sz w:val="14"/>
        </w:rPr>
        <w:t>|</w:t>
      </w:r>
      <w:r>
        <w:rPr>
          <w:rFonts w:ascii="GillSansMT" w:hAnsi="GillSansMT" w:eastAsia="GillSansMT"/>
          <w:b/>
          <w:i w:val="0"/>
          <w:color w:val="221F1F"/>
          <w:sz w:val="14"/>
        </w:rPr>
        <w:t>Published:</w:t>
      </w:r>
      <w:r>
        <w:rPr>
          <w:rFonts w:ascii="GillSansMT" w:hAnsi="GillSansMT" w:eastAsia="GillSansMT"/>
          <w:b w:val="0"/>
          <w:i w:val="0"/>
          <w:color w:val="221F1F"/>
          <w:sz w:val="14"/>
        </w:rPr>
        <w:t xml:space="preserve"> November 20, </w:t>
      </w:r>
      <w:r>
        <w:rPr>
          <w:rFonts w:ascii="GillSansMT" w:hAnsi="GillSansMT" w:eastAsia="GillSansMT"/>
          <w:b w:val="0"/>
          <w:i w:val="0"/>
          <w:color w:val="221F1F"/>
          <w:sz w:val="14"/>
        </w:rPr>
        <w:t>2017</w:t>
      </w:r>
    </w:p>
    <w:p>
      <w:pPr>
        <w:sectPr>
          <w:type w:val="nextColumn"/>
          <w:pgSz w:w="11906" w:h="16838"/>
          <w:pgMar w:top="272" w:right="698" w:bottom="376" w:left="0" w:header="720" w:footer="720" w:gutter="0"/>
          <w:cols w:space="720" w:num="2" w:equalWidth="0">
            <w:col w:w="7008" w:space="0"/>
            <w:col w:w="4200" w:space="0"/>
            <w:col w:w="112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58.0" w:type="dxa"/>
      </w:tblPr>
      <w:tblGrid>
        <w:gridCol w:w="5604"/>
        <w:gridCol w:w="5604"/>
      </w:tblGrid>
      <w:tr>
        <w:trPr>
          <w:trHeight w:hRule="exact" w:val="488"/>
        </w:trPr>
        <w:tc>
          <w:tcPr>
            <w:tcW w:type="dxa" w:w="3182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4" w:after="0"/>
              <w:ind w:left="0" w:right="0" w:firstLine="0"/>
              <w:jc w:val="left"/>
            </w:pPr>
            <w:r>
              <w:rPr>
                <w:rFonts w:ascii="GillSansMT" w:hAnsi="GillSansMT" w:eastAsia="GillSansMT"/>
                <w:b/>
                <w:i w:val="0"/>
                <w:color w:val="F37331"/>
                <w:sz w:val="24"/>
              </w:rPr>
              <w:t>Discussion</w:t>
            </w:r>
          </w:p>
        </w:tc>
        <w:tc>
          <w:tcPr>
            <w:tcW w:type="dxa" w:w="702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4" w:after="0"/>
              <w:ind w:left="0" w:right="1132" w:firstLine="0"/>
              <w:jc w:val="right"/>
            </w:pPr>
            <w:r>
              <w:rPr>
                <w:rFonts w:ascii="GillSansMT" w:hAnsi="GillSansMT" w:eastAsia="GillSansMT"/>
                <w:b/>
                <w:i w:val="0"/>
                <w:color w:val="221F1F"/>
                <w:sz w:val="20"/>
              </w:rPr>
              <w:t>The evolution of the concept of resilience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120"/>
        <w:ind w:left="0" w:right="0"/>
      </w:pPr>
    </w:p>
    <w:p>
      <w:pPr>
        <w:sectPr>
          <w:type w:val="continuous"/>
          <w:pgSz w:w="11906" w:h="16838"/>
          <w:pgMar w:top="272" w:right="698" w:bottom="376" w:left="0" w:header="720" w:footer="720" w:gutter="0"/>
          <w:cols w:space="720" w:num="1" w:equalWidth="0"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84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objective of the current study is to symbolically expand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young adult work of Rowling JK,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1‒7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to understand the role of the tutors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resilience in the school community with the development of 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adolescent whose been narcissistically wounded. The main character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Rowling’s stories, Harry Potter, is a student at Hogwarts: School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Witchcraft and Wizardry. His adventures gained great popularity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were adapted for the screen resulting in an even larger audience.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Gwilym and colleagues measured the impact of these works on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child and young adult population by following emergency room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visits for musculoskeletal injuries in the U.K. during the final weeks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summer. Surprisingly, it was found that there was a decrease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emergency room visits during the weeks of the books’ release.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author began the article with this provocation: “about the children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millennium, we can be sure of two things: they will hurt themselves,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and they (probably) will read Harry Potter”.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The popularity of Harry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Potter’s story invites investigation, and much has been studied,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discussed and written about the works. On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Medline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a trusted database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 scientific articles on health, a search conducted in April 2013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keyword “Harry Potter” returned 39 articles of various medical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specialties. On the same day, the same search on Google Scholar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returned 35,400 results. Academic theses have been written not only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areas of Liberal Arts, Communications, and Education, but also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Psychology, including Psychoanalysis and Analytical Psychology.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original works include more than 4100 pages of the,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1‒7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and almost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20hours of movies.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9‒16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Facing this huge cultural production and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associated scientific production, we do not assume to explore all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aspects of this saga. The films were considered together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books, because their images are inevitably present throughout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works, inseparable from the books. Using the reference of analytical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psychology, a symbolic analysis was done of both the literary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cinematic works. The study was delimited by the following traumatic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axis: Resilience and Tutors of Resilience. We propose that the “boy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who lived”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may symbolize the hurt child and the adolescent who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meets tutors of resilience who allow for a progressive and healthy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development. The works describe seven consecutive years of this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hero’s life, and begins with the invitation to attend such a school.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epilogue of the saga describes our protagonist’s healthy family, which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suggests that Harry’s development had a good outcome. So we have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story of a mistreated orphan, who throughout his adolescence, even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when facing adversity, is able to recapture his development.</w:t>
      </w:r>
    </w:p>
    <w:p>
      <w:pPr>
        <w:sectPr>
          <w:type w:val="continuous"/>
          <w:pgSz w:w="11906" w:h="16838"/>
          <w:pgMar w:top="272" w:right="698" w:bottom="376" w:left="0" w:header="720" w:footer="720" w:gutter="0"/>
          <w:cols w:space="720" w:num="2" w:equalWidth="0"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434"/>
        <w:ind w:left="96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Pinheiro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highlights that resilience does not mean invulnerability,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but rather the flexibility and the capacity to overcome. Infante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explains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postulating resilience without reducing it to invulnerability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implies the assumption that the individual is affected by adversity, but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is capable of overcoming. Ralha-Simões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questions if it is possible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discuss resilience as the physical and psychological survival of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 against risk factors, or the individual who not only overcomes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adversities but also feels happy and at peace with his existence. Facing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adversities include, necessarily, being affected by them (the opposite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care) or they would not be considered true adversities, or the situation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repression in the shadow. Resilience lives in the capacity to, once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impacted by adversity, suffer transformations, which, during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process of individualization, result in growth rather than deformity.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 xml:space="preserve">20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Iraci Galiás, at a post-graduate class given at PUC in 2009, asserted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resilience should be considered a potential in the process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individualization. Ceres Araújo explains that, according to Galiás,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following the Jungian approach, it is understood that the potential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remedy of the self may be achieved by the constellation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archetype of the Hero and by the constellation of the archetype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Divine Child. Or, in the dynamics of resilience, the strength of heroes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acting to cope, activated by overcoming as well as the bond with life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the search for something new, are necessary, which are carried by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Eternal Child.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Some heroic images do not accurately conform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to the concept of resiliency. Liliana Wahba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22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proposes three profiles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heroes: the hero of reason, the hero of the mission, and the hero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complexity. The hero of reason is the hero of duty. The second type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hero is the missionary, sacrificial hero. While in the first type, evil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external, in the second type, through sacrifice, evil is incorporated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redeemed. Thus, he is equally immutable in his goals. The first two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models face adversity without letting it affect them, and consequently,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transform them, not representing resilience. In the third model,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hero of complexity, he suffers and is affected by adversity. In this case,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there exists a transformative tragic element. The hero of complexity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is also gifted with special attributes, but is wounded, suffers adversity,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and faces risk; this has a transformative effect. Infante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separates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study of resilience in two moments. The first generation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researchers of resilience investigated personal characteristics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after, familiars and environments of resilient individuals. The second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generation attempts to understand resilience as a dynamic process.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Grotberg,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23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pioneer of the dynamic notion of resilience, proposes </w:t>
      </w:r>
    </w:p>
    <w:p>
      <w:pPr>
        <w:sectPr>
          <w:type w:val="nextColumn"/>
          <w:pgSz w:w="11906" w:h="16838"/>
          <w:pgMar w:top="272" w:right="698" w:bottom="376" w:left="0" w:header="720" w:footer="720" w:gutter="0"/>
          <w:cols w:space="720" w:num="2" w:equalWidth="0"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40.0" w:type="dxa"/>
      </w:tblPr>
      <w:tblGrid>
        <w:gridCol w:w="3736"/>
        <w:gridCol w:w="3736"/>
        <w:gridCol w:w="3736"/>
      </w:tblGrid>
      <w:tr>
        <w:trPr>
          <w:trHeight w:hRule="exact" w:val="248"/>
        </w:trPr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8" w:after="0"/>
              <w:ind w:left="452" w:right="0" w:firstLine="0"/>
              <w:jc w:val="left"/>
            </w:pPr>
            <w:r>
              <w:rPr>
                <w:rFonts w:ascii="Cambria" w:hAnsi="Cambria" w:eastAsia="Cambria"/>
                <w:b/>
                <w:i w:val="0"/>
                <w:color w:val="FFFFFF"/>
                <w:sz w:val="10"/>
              </w:rPr>
              <w:t xml:space="preserve">Submit Manuscript </w:t>
            </w:r>
            <w:r>
              <w:rPr>
                <w:rFonts w:ascii="Cambria" w:hAnsi="Cambria" w:eastAsia="Cambria"/>
                <w:b w:val="0"/>
                <w:i w:val="0"/>
                <w:color w:val="FFFFFF"/>
                <w:sz w:val="10"/>
              </w:rPr>
              <w:t>| http://medcraveonline.com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0" w:after="0"/>
              <w:ind w:left="156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4"/>
              </w:rPr>
              <w:t>J Psychol Clin Psychiatry.</w:t>
            </w: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 xml:space="preserve"> 2017;8(3):14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‒</w:t>
            </w: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12.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2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160" w:lineRule="exact" w:before="22" w:after="0"/>
        <w:ind w:left="4312" w:right="0" w:firstLine="0"/>
        <w:jc w:val="left"/>
      </w:pPr>
      <w:r>
        <w:rPr>
          <w:rFonts w:ascii="HelveticaNeueLTStd" w:hAnsi="HelveticaNeueLTStd" w:eastAsia="HelveticaNeueLTStd"/>
          <w:b w:val="0"/>
          <w:i w:val="0"/>
          <w:color w:val="221F1F"/>
          <w:sz w:val="12"/>
        </w:rPr>
        <w:t xml:space="preserve">©2017 Moreira. This is an open access article distributed under the terms of the Creative Commons Attribution License, which </w:t>
      </w:r>
      <w:r>
        <w:rPr>
          <w:rFonts w:ascii="HelveticaNeueLTStd" w:hAnsi="HelveticaNeueLTStd" w:eastAsia="HelveticaNeueLTStd"/>
          <w:b w:val="0"/>
          <w:i w:val="0"/>
          <w:color w:val="221F1F"/>
          <w:sz w:val="12"/>
        </w:rPr>
        <w:t>permits unrestrited use, distribution, and build upon your work non-commercially.</w:t>
      </w:r>
    </w:p>
    <w:p>
      <w:pPr>
        <w:sectPr>
          <w:type w:val="continuous"/>
          <w:pgSz w:w="11906" w:h="16838"/>
          <w:pgMar w:top="272" w:right="698" w:bottom="376" w:left="0" w:header="720" w:footer="720" w:gutter="0"/>
          <w:cols w:space="720" w:num="1" w:equalWidth="0"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2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04"/>
        <w:ind w:left="0" w:right="0"/>
      </w:pPr>
    </w:p>
    <w:p>
      <w:pPr>
        <w:sectPr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the interaction of resilient factors arises on three different levels: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social support (i.e., I have someone to count on), skills (I can),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internal strength (I am) is required. The author organizes the factors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resilience in this triad model and incorporates as an essential element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dynamic interaction of these factors. Melillo et al.,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stress another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element: the individual’s interaction with others. Resilience would not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 an innate, absolute attribute, but the result of the interaction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individual with his environment. The authors also detach two other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crucial factors: that resilience is a function of social and interpsyche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processes, and that it depends on certain qualities of interactions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individual with others. The evolution of the main character along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Rowling’s saga seems to follow the path of the construction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concept of resilience presented to this point, from the initial idea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invulnerability to the dynamic concept. The first chapter of the first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book is titled “The Boy who Lived”,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1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In this way, the first emphasis,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personal and non-transferable, is given to Harry’s capacity to survive.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Still in the beginning of this book, alongside the description of abuse,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series of characteristics of resilience and analogies of this archetypal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image are presented. One example is the way Harry’s hair insists 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staying the same way and length independent of what is done to it,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without Harry having any conscious control over it. Harry has gifts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magic, similar to divine attributes of a hero, beyond his control a way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defend himself, creating unexplainable situations. The Dursleys,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family who raised Harry, have a true detestation of unexplainable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facts or any allusion to magic. Our hero learned to avoid the topic,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however without denying his gifts internally. He developed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persona of an obedient and submissive boy, while keeping alive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imaginative capacity and fighting for survival far from the eyes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tormentors. In spite of the adverse conditions of this development,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 maintained the capacity for empathy, along with indignation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and rebellion. Sometimes, this internal turmoil breaks Harry’s well-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behaved persona, as shown in the passage of the trip to the zoo 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Harry’s cousin’s Dudley’s birthday. After one day of threats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provocations, Harry consoles himself with empathic contact with 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anaconda in a tank. This moment is broken by another attack by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cousin. Harry, without knowing how, magically lets the snake go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traps Dudley in the tank. This is a passage showing Harry’s lack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control, after all the capacity to control impulses is also a resilient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quality. However, our hero’s impulsivity does not deny his resilience, 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6"/>
        <w:ind w:left="96" w:right="9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interactions with his environment, results in a mismatch. But, when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well worked, this skill can be a gift, the gold that, at the coming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pathology, hides itself in the shadow, as in the following passage.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second book, some students begin to antagonize the half-bloods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children of non-wizards. Mysterious attacks on some students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increase the tension. Harry succumbs to the pressure and begins to hear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voices. The partnership of his companions Hermione and Ron,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Hagrid’s reception, the groundskeeper, are essential to the restitution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Harry’s balance. At the climax of suspense and adventure, Ginny,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then only the younger sister of Ron, Harry’s best friend, falls prey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villain and runs great risk. It is the friendship and companionship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Ron that moves Harry to his second heroic journey. His ability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speak Parseltongue allows him to enter the Chamber of Secrets,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descent to hell, and consequently confronts the shadow/villain. It is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reaffirmation of faith and loyalty to Professor Dumbledore that brings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definite help, the phoenix Fawkes carrying the sword of Gryffindor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inside the Sorting Hat, combining the “I am” smart, fearless, and loyal,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the “I can” fly and duel well, and the “I have” someone to count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on. So, Harry has success in his confrontation - he is able to question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himself about his similarities to the villain when he was a student –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rescue the girl who received the villain’s spirit throughout the saga.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Cyrulnik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highlights the importance of cautious people, of affective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guardians, in the resumption of development. And so, with the help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these guardians, that Harry understands and accepts his Parseltongue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ability, which passes from mental symptom to gift. Throughout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book, Harry understands that the voice he heard, and that no one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else heard, came from the Basilisk, a monster snake hidden in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basement of the castle and who, freed by the villain, slithered through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walls through the pipes to commit the mysterious attacks. Harry’s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sensibility to sense danger, arising from his injury as a child, at first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unadapted and generate mental symptoms. In a second moment, once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stronger, this sense becomes the weapon with which Harry can enter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Chamber of Secrets, in the basement of the castle, and rescues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youth from the villain’s grasp, saving her life. This rescue would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not be possible without external help. The phoenix, a bird that has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symbol of rebirth belongs to Headmaster Dumbledore. He appears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help exactly when Harry, moved by the bond with his headmaster,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rises up against the villain when he slanders Dumbledore. The trust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bond with the cautious figure brings the sword, the discrimination, </w:t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5352" w:val="left"/>
        </w:tabs>
        <w:autoSpaceDE w:val="0"/>
        <w:widowControl/>
        <w:spacing w:line="233" w:lineRule="auto" w:before="0" w:after="16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since resilience is not invulnerability. And the little wizard is only 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limiting the shadow.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pre-teen at the time of the scene. If his development is successful, 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will learn to control his impulsivity. According to Araujo (2011),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evaluation of resilience is the degree to which an individual’s personal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resources equal or exceed his reaction to internal and external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stressors. The variation on the levels of resilience reflects the dynamic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nature of the concept, and can be observed throughout the saga.</w:t>
      </w:r>
    </w:p>
    <w:p>
      <w:pPr>
        <w:autoSpaceDN w:val="0"/>
        <w:autoSpaceDE w:val="0"/>
        <w:widowControl/>
        <w:spacing w:line="250" w:lineRule="auto" w:before="136" w:after="0"/>
        <w:ind w:left="12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feature in itself is neutral, and will only connote resilience or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mismatch depending on how an individual deals with this feature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relation to his environment. One example in Rowling’s work is our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hero’s Parseltongue skills. Throughout the saga, Harry’s exceptional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skill of speaking to snakes is explained in different ways: heredity,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arising from his paternal noble magic ancestry, a characteristic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acquired during Voldemort’s first attack (which gave him the scar,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when Voldemort accidentally transferred some of his powers),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characteristic belonging to a part of Voldemort’s soul (which fractured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during the first confrontation and lodged itself to Harry, becoming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Horcrux - a black magic artifact that contains a part of Voldemort,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guaranteeing him immortality). Similarly, throughout the saga,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skill acquires different connotations, light and shadow: since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 element of defense may be voluntary or involuntary, it may be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suspicious sign of Harry approaching, similarly, the dark wizards.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Harry’s talent, innate or acquired, can lead to pathology if, during 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96" w:right="9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story of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Star Wars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the confidence of the bond and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support of friends at critical moments are exactly what Anakin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Skywalker lacks, leading him to the dark side and to become Darth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Vader. Anakin is an especially talented youth, “the chosen one”,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like Harry, but has a solitary journey, without friends, aside from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few teachers. As loving as they can be, as is the case with Obi Wan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Kenobi, they are vertical relationships, and do not substitute fraternal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relationships. When Anakin is activated by the anima and meets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beloved, the meeting is prohibited, which increases his isolation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separates him from his teachers, leading him to receive the guidance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from that which would lead him to the dark side. Harry, since arriving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 Hogwarts, is surrounded by friends and affective relationships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alternating in support, never being truly alone, not even in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moments of nigredo. His teachers remain close, with an empathic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welcome, even when his darkest aspects befall. Whether friends 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professors, there is no shortage of fraternal relationships or affective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guardians that Cyrulnik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refers to.</w:t>
      </w:r>
    </w:p>
    <w:p>
      <w:pPr>
        <w:autoSpaceDN w:val="0"/>
        <w:autoSpaceDE w:val="0"/>
        <w:widowControl/>
        <w:spacing w:line="240" w:lineRule="auto" w:before="138" w:after="0"/>
        <w:ind w:left="96" w:right="0" w:firstLine="0"/>
        <w:jc w:val="left"/>
      </w:pPr>
      <w:r>
        <w:rPr>
          <w:rFonts w:ascii="GillSansMT" w:hAnsi="GillSansMT" w:eastAsia="GillSansMT"/>
          <w:b/>
          <w:i w:val="0"/>
          <w:color w:val="F37331"/>
          <w:sz w:val="24"/>
        </w:rPr>
        <w:t>Tutors of resilience</w:t>
      </w:r>
    </w:p>
    <w:p>
      <w:pPr>
        <w:autoSpaceDN w:val="0"/>
        <w:autoSpaceDE w:val="0"/>
        <w:widowControl/>
        <w:spacing w:line="245" w:lineRule="auto" w:before="120" w:after="386"/>
        <w:ind w:left="96" w:right="0" w:firstLine="24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Melillo et al.,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24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observed that in the history of all subjects who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showed resilience, there was at least one person (familiar or not) that </w:t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3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324"/>
        <w:ind w:left="0" w:right="0"/>
      </w:pPr>
    </w:p>
    <w:p>
      <w:pPr>
        <w:sectPr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accepted them unconditionally, independent of his temperament,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physicality or intelligence. These individuals needed to count 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someone, and at the same time, feel that their efforts, competency,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self-esteem were recognized and promoted. Cyrulnik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25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proposes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term “tutor of resilience” for individuals who establish this positive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bond. Throughout the saga, there are diverse examples of significant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protective relationships between Harry and tutors of resilience,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especially at Hogwarts: School of Witchcraft and Wizardry. During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Dumbledore’s tenure as Headmaster, power is democratically divided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 the school. The responsibility of disciplining student falls upon the </w:t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6"/>
        <w:ind w:left="96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their presence evoked flashes of remote memories of the death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mother, which, besides painful, made the wizard feel close to her,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delivering himself to the will of the monsters. The happy memory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allows Harry to conjure the protective spell is precisely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parents’ loving look that Harry saw in the Mirror of Erised, the mirror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wishes, during his first year at Hogwarts. During the meetings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the professor, Harry strengthens within himself the memory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primordial love reflected in his mother’s eyes, the first mirror in which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child sees his reflection, easing the pain of orphanhood, protecting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 from melancholia by the awareness of his mother’s love and the </w:t>
      </w:r>
    </w:p>
    <w:p>
      <w:pPr>
        <w:sectPr>
          <w:type w:val="nextColumn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5352" w:val="left"/>
        </w:tabs>
        <w:autoSpaceDE w:val="0"/>
        <w:widowControl/>
        <w:spacing w:line="233" w:lineRule="auto" w:before="0" w:after="16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heads of the houses, into which the students are sorted. This works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feelings of loss.</w:t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similarly to fraternities at American universities and count on great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autonomy. There the students meet their housemates, those who,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according to Headmaster Dumbledore, will be like family while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living at the castle. The rules at Hogwarts are very strict, however,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each head of house, based on each case’s circumstances, decides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punishments. Despite the tough appearance, Professor McGonagall,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head of Gryffindor house, the house were Harry lives, bends the rules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school during the protagonists’ first week of classes when,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instead of punishing Harry for an infraction, she notices his special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talent to fly on broomstick and nominates him to join the house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team. Thus, she bends the rules for first year students to participant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Quidditch games. With this act, the professor values and creates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opportunity for development of Harry’s talent, and establishes 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affective bond that becomes very important for the boy who had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premature and traumatic break of primary relationships. This bond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does not impede her to give a very severe punishment to Harry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friends when she realizes that they began to put themselves above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rules of the school, demonstrating the recognition and disapproval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students’ inflated egos. McGonagall doesn’t undergo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confusion of roles brought on by this growing bond. When Harry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asks her to sign an authorization in place of his uncle and aunt, as if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they even went through the trouble to read it, she reminds him that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only his parents or guardians can sign the form. Both the professor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the student feel the weight of the situation, but these limits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preserve the bond. So, McGonagall maintains emotional and firm,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expressing the equilibrium between the patriarchal and matriarchal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dynamics. The emotion and the balance between the patriarchal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matriarchal dynamic of the professor help Harry and his friends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development of otherness. Another significant example is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meeting between Harry and Professor Lupin, who teaches him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Patronus spell. To conjure the Expecto Patronum, the wizard needs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concentrate on his happiest memory; the strength of this memory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will give him the strength of protection. Such a spell has a special use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banish dementors, beings that have the ability to excise all present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joy, and whose presence intensely cools the environment – what 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analogy for depression! These creatures bring the saddest memories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light for those being affected. The visual effect of a Patronus is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translucent, ethereal animal, which aside from banishing dementors,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also be used in moments of great need to carry messages or even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objects instantaneously, as is observed in the final books of the saga.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Every wizard who is able to conjure this spell conjures a specific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animal, which can change, depending on emotional circumstances,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emphasizing the personal, subjective and emotional character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spell. Learning the Patronus is especially controversial. Altogether,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it cannot be assumed that students are capable of learning it. Due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exceptional susceptibility to the dementors, Harry seeks Professor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Lupin who seems readily available to teach him the protective spell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a series of private lessons. Thanks to the positive transference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relationships, our hero becomes the youngest wizard to learn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conjure the Expecto Patronum. During this process, Harry identifies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what made him so vulnerable to the dementors (the depression): </w:t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374"/>
        <w:ind w:left="96" w:right="94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However, the institutions are also dynamic, and Hogwarts does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not always present itself as a health promoting school. Under the rule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Dumbledore, the predominance of human relationships guided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emotion and respect for diversity, composing a healthy school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environment, contributes to the psychic stability of the wizard.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26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When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situation changes, the fragile balance of our hero vanishes,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plenty of elements coming to the environment and to his own history.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 is better organized emotionally, not hearing voices anymore,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but succumbing to the depressive and anxious symptoms, including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agitated sleep and vivid nightmares. The intervention of other tutors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resilience, the members of the Order of the Phoenix, found outside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school, but through it, help him save his sanity. Among these,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Harry’s relationship with his godfather Sirius Black deserves to be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featured. An especially emblematic dialogue occurs in the fifth film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series. This story recounts the growth of the shadow of power 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Hogwarts: School of Witchcraft and Wizardry under the intervention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Ministry of Magic, which dismissed Dumbledore and imposed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 dictatorial regime. Gerhold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27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explains that everything that brought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 that feeling of being home at Hogwarts was taken away,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without the prospect of return. At Christmas, the recently restructured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Order of the Phoenix, the resistance group against Voldemort,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reunited at Sirius Black’s home. In a private conversation, Harry tells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Sirius that he is afraid of becoming a bad person, because he feels 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incommensurate amount of anger growing within him. Sirius responds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lovingly that Harry is a good person, to whom very bad things have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happened. The increasing consciousness of shadow scares Harry.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godfather’s welcome in relation to these aspects appeases Harry,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helping him to become stronger. Our hero presents an early reflective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conscious and recognizes the presence of the shadow. In this passage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 see an important characteristic in the dynamic of resilience: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capacity to confront dark aspects, here welcomed lovingly by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tutor of resilience. This capacity, essential in the journey towards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individualization, would also serve as a proactive factor in regards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the shadow within the healthy development in adverse situations.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However, without the due reception, this same characteristic would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serve to deepen depressive symptoms. This was not the only time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where Harry depended on the precious support of his godfather.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They met at the end of the third book when, after undoing messes,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Sirius asserts the symbolic adoption of Harry. For the next two years,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until the death of Black, Harry corresponds with his godfather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intensity that the underground situation permits. It is Black who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 calls on when he feels frightened by premonitory nightmares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Voldemort, or on occasion of the Tri-Wizard Tournament. It is also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Sirius who Harry reports to when he discovers the dark aspects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father. His godfather is always welcoming, however he does not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gloss over reality. Harry suffers tremendously with the death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godfather, this time welcomed by Headmaster Dumbledore, director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Hogwarts, who remains tolerant and loving with Harry’s intense anger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his office. After a true battle between the Order of the Phoenix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Death Eaters in the rooms of the Ministry of Magic, with Harry </w:t>
      </w:r>
    </w:p>
    <w:p>
      <w:pPr>
        <w:sectPr>
          <w:type w:val="nextColumn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4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88"/>
        <w:ind w:left="0" w:right="0"/>
      </w:pPr>
    </w:p>
    <w:p>
      <w:pPr>
        <w:sectPr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his friends fighting alongside, and when Sirius Black is killed,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 takes Harry to his office, being careful to lock the door,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containment also giving them privacy and the restriction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surroundings. Harry, against the revived pain of orphanhood, reacts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increasing aggression, breaking his professor’s things, with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professor watching passively. This tolerance, criticized by the portraits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stupefied ex-headmasters, allowed Harry to become aware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own aggression. The wizard has his feeling of impotence reflected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professor’s stance. With perfect patience, the headmaster slowly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initiates a conversation and lists the facts that led to the Sirius’ death,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situating the boy in the dynamic of the forces of a war larger than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him, accepting part of the blame for what happened and reminding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 of Black’s decision to participate in the battle. Harry gradually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moves from rage to sadness. In the end, Dumbledore apologizes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Harry, explaining his separation from the boy in the last months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promising him to be closer from now on.</w:t>
      </w:r>
    </w:p>
    <w:p>
      <w:pPr>
        <w:autoSpaceDN w:val="0"/>
        <w:autoSpaceDE w:val="0"/>
        <w:widowControl/>
        <w:spacing w:line="250" w:lineRule="auto" w:before="136" w:after="76"/>
        <w:ind w:left="12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Dumbledore’s reception did not impede a new period of intense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sadness for Harry. But, it prevented that the boy lived a pathological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fight, this time excessive rage, the feeling of blame and the desire for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death were substituted with sadness. The emergence of the shadow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our hero, immediately after Sirius’ death – the appearance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Voldemort at the Ministry, culminating with the invasion of Harry’s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body, challenging Dumbledore to kill him - was properly contoured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the help of his professor. While someone can triumph against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adversity, this same triumph can mark a resilient individual’s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personality, which is fixed on the identification with the capacity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overcome. From this, Harry runs the risk of being overtaken by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archetype of the hero, becoming the eternal survivor. With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resulting inflation of the ego, an incessant search for adverse situations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occur, confirming a fantasy of invulnerability. A very didactic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example of this configuration can be observed in the sixth film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series. In this episode, during a return trip to Hogsmeade, a wizard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town close to Hogwarts, a jinxed magic artifact destined for Professor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 accidentally curses a student. The trio of protagonists was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close by and, with Hagrid, the giant groundskeeper, help take the girl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back to the castle. In the movie, Professor McGonagall summarizes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situation by questioning the trio: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260"/>
        </w:trPr>
        <w:tc>
          <w:tcPr>
            <w:tcW w:type="dxa" w:w="13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3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“Why,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when </w:t>
            </w:r>
          </w:p>
        </w:tc>
        <w:tc>
          <w:tcPr>
            <w:tcW w:type="dxa" w:w="1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2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something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happens,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it </w:t>
            </w:r>
          </w:p>
        </w:tc>
      </w:tr>
      <w:tr>
        <w:trPr>
          <w:trHeight w:hRule="exact" w:val="22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is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always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you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3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three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who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are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present?” </w:t>
            </w:r>
          </w:p>
        </w:tc>
      </w:tr>
      <w:tr>
        <w:trPr>
          <w:trHeight w:hRule="exact" w:val="220"/>
        </w:trPr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“Believe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me,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8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professor,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2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7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have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1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been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0" w:right="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asking </w:t>
            </w:r>
          </w:p>
        </w:tc>
      </w:tr>
      <w:tr>
        <w:trPr>
          <w:trHeight w:hRule="exact" w:val="21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myself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same </w:t>
            </w:r>
          </w:p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question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5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for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18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six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16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years.” </w:t>
            </w:r>
          </w:p>
        </w:tc>
      </w:tr>
    </w:tbl>
    <w:p>
      <w:pPr>
        <w:autoSpaceDN w:val="0"/>
        <w:autoSpaceDE w:val="0"/>
        <w:widowControl/>
        <w:spacing w:line="233" w:lineRule="auto" w:before="8" w:after="0"/>
        <w:ind w:left="1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Ron responds, positioning himself between Harry and Hermione 14.</w:t>
      </w:r>
    </w:p>
    <w:p>
      <w:pPr>
        <w:autoSpaceDN w:val="0"/>
        <w:autoSpaceDE w:val="0"/>
        <w:widowControl/>
        <w:spacing w:line="247" w:lineRule="auto" w:before="136" w:after="0"/>
        <w:ind w:left="12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fixation of the identity of the ego with the archetype of the hero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be the root of the increase of a shadow of desire for power, for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recognition, for proof, and to have recognized an invulnerability that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would translate to immortality. A shadow that will fit Harry confronts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 in the epic, in the form of Lord Voldemort. However, as described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above, several are tutors of resilience that help the wizard in his heroic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journey that ends successfully.</w:t>
      </w:r>
    </w:p>
    <w:p>
      <w:pPr>
        <w:autoSpaceDN w:val="0"/>
        <w:autoSpaceDE w:val="0"/>
        <w:widowControl/>
        <w:spacing w:line="240" w:lineRule="auto" w:before="138" w:after="0"/>
        <w:ind w:left="120" w:right="0" w:firstLine="0"/>
        <w:jc w:val="left"/>
      </w:pPr>
      <w:r>
        <w:rPr>
          <w:rFonts w:ascii="GillSansMT" w:hAnsi="GillSansMT" w:eastAsia="GillSansMT"/>
          <w:b/>
          <w:i w:val="0"/>
          <w:color w:val="F37331"/>
          <w:sz w:val="24"/>
        </w:rPr>
        <w:t>Descending to overcome</w:t>
      </w:r>
    </w:p>
    <w:p>
      <w:pPr>
        <w:autoSpaceDN w:val="0"/>
        <w:autoSpaceDE w:val="0"/>
        <w:widowControl/>
        <w:spacing w:line="247" w:lineRule="auto" w:before="120" w:after="0"/>
        <w:ind w:left="12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occasion of Dumbledore’s death, Harry, along with his friends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Ron and Hermione, is at his most structured personality. His wounds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were sufficiently elaborated to reach this stage. As is explained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previously, his elaboration is thanks to the help of his friends and tutors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resilience. But there is still much more to overcome, including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grief of his professor, for which our hero has the strength to confront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collective shadow, providing the emergence of the new. To make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possible the death of the villain, the trio of protagonists - Harry, Ron,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Hermione - abandon school and go in search of the Horcruxes: 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96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artifacts that contain parts of Voldemort’s soul, holding him to Earth.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search, marked by the trio’s isolation, the shadow of Headmaster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Dumbledore’s power reveals itself: due to the violence suffered at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hands of three Muggle boys, his younger sister goes crazy irreversibly,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ending with the accidental assassination of their mother. The father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professor withers at Azkaban prison after revenge against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young aggressors. Against this tragedy, Dumbledore was seduced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the dream of wizard supremacy over all creatures, as a protective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strategy. With the accidental death of his sister, he became aware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own shadow, changing position and dueling with that which was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once his ally and which would make him a great dark wizard.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emergence of the master’s past reveals the shadow of the community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as a whole: the experience of exclusion and the projection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solution in inbred hegemony. It also brings the knowledge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Deathly Hallows, three artifacts that when united bring invincibility: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Invisibility Cloak, the Elder Wand, and the Resurrection Stone.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Invisibility Cloak makes possible unlimited travel without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individual being seen. The Elder Wand promises the predominance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over arising spells of any other wand. Finally, the Resurrection Stone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promises to rescue your loved ones from death. Two possible paths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arise: destroy the source of immortality of Voldemort or search for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invincibility, the absolute power.</w:t>
      </w:r>
    </w:p>
    <w:p>
      <w:pPr>
        <w:autoSpaceDN w:val="0"/>
        <w:autoSpaceDE w:val="0"/>
        <w:widowControl/>
        <w:spacing w:line="250" w:lineRule="auto" w:before="136" w:after="0"/>
        <w:ind w:left="96" w:right="9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Unconsciously identifying with his professor, Harry succumbs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doubt, paralyzing and destabilizing the trio, whose shadow of mutual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jealousy and distrust emerge. The conflicts culminate with Ron’s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separation, the representing of the emotional function of the group.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After his return, regardless of the stabilization, the trio is trapped,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thanks to a moment of inflated ego of Harry. Hermione is tortured,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reinforcing the image of intolerance associated with the tides of evil.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Dolby, a house elf freed by Harry in the second book, helps the trio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escape, at the cost of his own life. Although elves constitute a species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magical beings highly subjugated by wizards, only they have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power to escape from the fortress where the protagonists were trapped,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fact that does not go unnoticed by our hero. The wizard changes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attitude, and makes sure to dig by hand a grave for Dobby, giving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up his magical powers for the task. His friend is buried in clothes: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possessing clothes is what distinguishing free elves from house elves,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giving him dignity. The suffering over the death of the elf for whom 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had unlimited affection, elaborated by his manual labor, frees Harry’s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mind from Voldemort’s invasions (shadow’s invasions), which allows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 to think with clarity and decide the path to take. Harry returns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intuit what and where the Horcruxes are and the trio returns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Hogwarts, where the final confrontation takes place. On the journey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search of the means to take down the villain, the isolation and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fear, accentuated by the deglamorizing of his professor, a defensive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shadow of the power of the group was fostered. Each character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projects his insecurity on one another. Harry, having difficulty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exercising his leadership role, begins to secretly yearn for absolute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power, sharing fewer of his thoughts, accentuating the distrust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companions. The prison created by his indiscretion, the image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friend being tortured, the death of the elf who sacrificed himself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save him, the self-imposed exercise to abdicate his magical powers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submit himself to manual labor, everything together helped Harry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begin to understand the question of power. He returns to his original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plan, which his friends never thought was questioned, while intuiting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that in the interim, Voldemort finally found the Elder Wand: the desire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for absolute power will return to strengthen the darkness (Figure 1).</w:t>
      </w:r>
    </w:p>
    <w:p>
      <w:pPr>
        <w:autoSpaceDN w:val="0"/>
        <w:autoSpaceDE w:val="0"/>
        <w:widowControl/>
        <w:spacing w:line="245" w:lineRule="auto" w:before="136" w:after="270"/>
        <w:ind w:left="96" w:right="9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Deathly Hallows is three, which brings the question of three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four. The group of artifacts composes a triangular mandala, therefore,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incomplete. On this mandala, the circle is inscribed in the triangle.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straight line surpasses the circle, which is the smallest of the elements. </w:t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5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68"/>
        <w:ind w:left="0" w:right="0"/>
      </w:pPr>
    </w:p>
    <w:p>
      <w:pPr>
        <w:sectPr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phallic symbols not only contain but also surpass the symbol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totality, showing the unbalance of the mandala. But what is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meaning of the opposition between threeness and fourness, or rather,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what does threeness mean as compared with wholeness? In alchemy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this problem is known as the axiom of Maria. 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...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Between the three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the four there exists the primary opposition of male and female,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but whereas fourness is a symbol of wholeness, threeness is not.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later, according to alchemy, denotes polarity, since one triad always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presupposes another, just as high presupposes low, lightness darkness,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good evil. 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...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If one imagines the quaternity as a square divided into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two halves by a diagonal, one gets two triangles whose apices point 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opposite directions. One could therefore say metaphorically that if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wholeness symbolized by the quaternity is divided into equal halves,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it produces two opposing triads.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28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Through the suffering of his loved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ones, Harry is able to control the shadow’s possession, giving up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mandala of power and glimpsing the search for transcendence from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narcissistic wound. The way would be the restitution of mortality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the shattered soul of the villain, the destruction of what trapped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fragments of his soul to Earth. With reinvigorated harmony, the trio,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recognizing mutually each other’s talents, resumes the search initiated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by their professor in the beginning of the sixth book. Dash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29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associates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fact that the principal villain parted his soul in seven pieces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forming the Horcruxes to the problem of the fragmented development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modern man. Voldemort would never understand the power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unified soul, which he gave up during his search to overcome death.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 searched for immortality while perpetrating violence against others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against himself, without ever realizing the importance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connection with totality, and of the disconnection that violence brings.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Like the villain/shadow, Harry has the potential for aggression, which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 the beginning of the saga appears dissociated from his conscious,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like an autonomous complex, for example, when Dobby the elf throw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Tia Petunia’s cake on the floor in the middle of a dinner at Harry’s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family’s home while Harry, even though it was his birthday, had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remain locked in his room. The destructive force emerges when 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has to defend himself against his cousin, sometimes counter-attacking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frighteningly, to the point of leaving his cousin in a state of emotional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shock in the beginning of the fifth book, or when he inflates his aunt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like a balloon, or still when he breaks his professor’s belongings. This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aggression continues to gradually transform and become integrated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into his conscience through the welcoming of his tutors of resilience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the fraternal welcome of his friends. He directs and structures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physical identity through sports and competitive games,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begins taking shape thanks to the creative limits of Hogwarts.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importance of transformation and direction, without emasculation,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the difference between sacrifice and mutilation.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28‒30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 If the latter can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paralyze or deform development, the former permits the direction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aggressive energy in a creative way, promoting the rupture of the old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 the emergence of the new. The search for the Horcruxes is a revisit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the history of the villain/shadow, still called Tom Riddle, since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time at the orphanage, his time at Hogwarts, and until the height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fame. Two of the artifacts mark the beginning of this history: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wizard grandfather’s ring, an alliance with his noble wizard ancestry,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over his father’s Muggle ancestry; and his diary as a student,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record of his time at Hogwarts, which like the protagonists, would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also signify a place of belonging, excluding when his request to join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faculty was denied by Dumbledore, who realized his excessive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ambition. Three artifacts belonged to three founders of Hogwarts: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locket of Salazar Slytherin, another homage to his noble wizard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ancestry; the cup of Helga Hufflepuff, an object of the founder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house of unlimited emotion and welcoming that, similar to the Holy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Grail for those who sought it, lost its original significance of otherness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in turn mistakenly symbolized patriarchal power; and the diadem </w:t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96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Rowena Ravenclaw, a female adornment which brought wisdom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whomever wore it, which had an equally distorted patriarchal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significance, understood as an ostentatious object, distancing itself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from chthonic wisdom. The sixth Horcrux is Voldemort’s endeared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snake, which remits Parseltongue, an innate talent that the villain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divides with Harry and carries a distinguished mark, much like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proximity to dark forces. A snake is Slytherin house’s animal,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house that carries the most valuable wizard heredity. Serpents carry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symbol of endogamy, of symbolic incest, of uroborus, which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can bring death to subjectivity and make impossible the emergence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the new, of the divine child. The last and unplanned Horcrux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 himself, descendent of the fourth founder of Hogwarts, Godric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Gryffindor. The wizard as a Horcrux would symbolize the risk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fixation on shadow, of the ego’s identification with the hero archetype,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and of the inflation for power.</w:t>
      </w:r>
    </w:p>
    <w:p>
      <w:pPr>
        <w:autoSpaceDN w:val="0"/>
        <w:autoSpaceDE w:val="0"/>
        <w:widowControl/>
        <w:spacing w:line="240" w:lineRule="auto" w:before="10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868929" cy="22974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929" cy="2297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102" w:after="0"/>
        <w:ind w:left="96" w:right="0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Figure 1</w:t>
      </w:r>
    </w:p>
    <w:p>
      <w:pPr>
        <w:autoSpaceDN w:val="0"/>
        <w:autoSpaceDE w:val="0"/>
        <w:widowControl/>
        <w:spacing w:line="250" w:lineRule="auto" w:before="140" w:after="310"/>
        <w:ind w:left="96" w:right="9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shadow of power is anchored not only in the history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villain’s abandonment, whose mother died through wanes, abandoned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her family for being impregnated by a Muggle and by her lover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when he realized she was a witch. All of the houses of Hogwarts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contributed with something to the immortality of the defensive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shadow of the desire for hegemonic power. Harry’s shadow is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shadow of all the excluded, all who show special characteristics not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recognized by the status quo. It is the shadow of a society that forgets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importance of the connection with totality and values extreme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specialization, dividing the soul into parts to be outsourced, or what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leads to a polarized and lame development of individuals. The shadow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recognition of only one part of human ancestry, making immortal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alliance with classic, noble, intellectual ancestry and forgetting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tribal origin, matriarchal and emotional, brings the chthonic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wisdom. The shadow of academia is diaries and scientific journals,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which maintain the records of success, excluding official publications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negative results, or the imperfection of the method, or the doubt.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shadow of the West who made the Christian message of otherness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patriarchal and who does not recognize the knowledge of womanly,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caricatured by the incessant search for beauty and recognition.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At last, of a society who still have not learned to live in diversity,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excluding the different. But we all are different; we all have some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eccentric, rejected in one way or another, in some instance. When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returning to Hogwarts, Harry partitions the search for the Horcruxes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Dumbledore’s army, who showed to be dedicated to the body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soul of the cause, and who actively contribute to the destruction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artifacts of dark magic. During the search, all of the Order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Phoenix arrive at the castle that would become a plaza of war. During </w:t>
      </w:r>
    </w:p>
    <w:p>
      <w:pPr>
        <w:sectPr>
          <w:type w:val="nextColumn"/>
          <w:pgSz w:w="11906" w:h="16838"/>
          <w:pgMar w:top="398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88"/>
        <w:ind w:left="0" w:right="0"/>
      </w:pPr>
    </w:p>
    <w:p>
      <w:pPr>
        <w:autoSpaceDN w:val="0"/>
        <w:autoSpaceDE w:val="0"/>
        <w:widowControl/>
        <w:spacing w:line="4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6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130"/>
        <w:ind w:left="0" w:right="0"/>
      </w:pPr>
    </w:p>
    <w:p>
      <w:pPr>
        <w:sectPr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war, Harry deglamorizes his opposition; first Draco Malfoy,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saving his life, and lastly, Severus Snape, posthumously peering into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memories. There remains his confrontation with his greatness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shadow: the omnipotent guilt he feels for his survival among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loved ones, which brings him to the desire, equally omnipotent,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surpass his own death. Harry enters the Forbidden Forest, wearing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Invisibility Cloak, a relic passed down by his father, carrying a present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from Dumbledore: the Resurrection Stone, the last of the Deathly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Hallows. Feeling his courage fade, Harry uses the stone to meet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all those who, in his mind, died for him: his parents, Sirius Black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godfather, and Remus Lupin, the professor who recently died fighting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the castle. At this meeting, he is greeted by everyone’s smiles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the gaze and admiration of his parents. The wizard apologizes to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them, and as a response they assert the reasoning behind their deaths: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fight for a better world. At last, he realizes that they all are a part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him, and that he would never be alone. With the integration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loving memories, the internalization of the tutors, Harry finally begins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formulate his grief. Recognize the resource that Jung called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active imagination as in the diverse moments of the saga. The four,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parents, his godfather and his professor, accompany him until he 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standing across from Voldemort, surrounding by Death Eaters. Once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targeted by the Lord of Darkness, hero and villain fall unconscious,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each one on one side. Voldemort quickly wakes up and rises weakly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believes he has killed our hero, who is carried back to the castle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by a sobbing Hagrid, surrounding by Death Eaters who follow their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leader. Voldemort ignores that he has now returned to a mortal state.</w:t>
      </w:r>
    </w:p>
    <w:p>
      <w:pPr>
        <w:autoSpaceDN w:val="0"/>
        <w:autoSpaceDE w:val="0"/>
        <w:widowControl/>
        <w:spacing w:line="250" w:lineRule="auto" w:before="136" w:after="0"/>
        <w:ind w:left="120" w:right="98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During this, Harry has a conversation with his headmaster, at a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very clean and bright place, that the wizard identifies as King’s Cross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station. At this station, or a hazy clear and bright place, Harry has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last meeting with Dumbledore who is very proud of his student.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They discuss the Deathly Hallows and about Dumbledore’s life,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who in tears, admits his wrongdoings. The professor, an image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internal curator, enlightens that Harry has the option to move forward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into death or to return to life, saying that his return to life and not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death could save many lives, as Harry believed because of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omnipotent guilt arising in grief not yet elaborated. Harry understands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his connection to Voldemort and his mission and chooses to finish his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task, not before the ultimate question: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16"/>
        <w:ind w:left="96" w:right="9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win fame for “doing the right thing”, or Achilles, who gives up future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generations of descendants to “immortalize the name for generations”,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or Getúlio Vargas, who “left life to enter into the history of Brazil.”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Harry delivers himself to the confrontation with the villain, devoid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narcissistic defenses. He acts anonymously, without saying goodbye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 avoid commotion. The identity that he had denied for so many years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is reintegrated, and Harry returns from the confrontation matured.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three Deathly Hallows, Harry leaves the Resurrection Stone on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ground of the Forbidden Forest, buries the Elder Wand in Dumbledore’s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tomb, and keeps for himself the Invisibility Cloak, the only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three with the exclusive purpose of defense. The great defense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cloak is to disappear from sight of others, the opposite of the fame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glory. Thanks to the cloak, Ignoto Peverell was the only of the three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brothers, creators and carriers of the Deathly Hallows, to have a long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life and natural death. He lived his whole life anonymously, in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village of Godric’s Hollow, which materializes the utopia of wizards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Muggles living harmoniously. It is not much more than a small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unimportant and unknown village in England, where Harry was born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and his parents lived. It is the antithesis of ego inflation, strengthened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further socially in the environment, and that Harry overcomes when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leaving adolescence and integrating his adult identity. Before burying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Elder Wand, the wizard reconstructs his own wand, which chose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him when he was 11years old. He feels better with this wand. With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origin reintegrated, he can finally reunite romantically with Ginny.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With the entrance of feminine power of the specialist in boogeymen,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expert in seeing fear as ridiculous, the trio of protagonists becomes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 group of four. Harry Potter, the boy who lived, son of Lily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James Potter who died to lovingly save Harry’s life, marries Ginny,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member of a traditional wizard family who dared to deny the solution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endogamy as a defense, and whose greatest power is humor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emotion. Nineteen years later, the couple makes an indication of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possibility of the conscious union of two opposites by giving their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son the name Albus Severus Potter. This union of the names of Albus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 and Severus Snape are the greatest representations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Gryffindor and Slytherin, respectively. These houses, which represent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polarity between inclusive diversity and exclusive homogeneity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throughout the saga, are united and revealed by our hero’s son.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symbol of the divine child brings a new forthcoming that point to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possibility of integration of these polarities and the hope the war for </w:t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1311"/>
        <w:gridCol w:w="1311"/>
        <w:gridCol w:w="1311"/>
        <w:gridCol w:w="1311"/>
        <w:gridCol w:w="1311"/>
        <w:gridCol w:w="1311"/>
        <w:gridCol w:w="1311"/>
        <w:gridCol w:w="1311"/>
      </w:tblGrid>
      <w:tr>
        <w:trPr>
          <w:trHeight w:hRule="exact" w:val="204"/>
        </w:trPr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-Tell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me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something,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Harry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said,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is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24" w:after="0"/>
              <w:ind w:left="0" w:right="8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this 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power will end in the next generations.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1165"/>
        <w:gridCol w:w="1165"/>
        <w:gridCol w:w="1165"/>
        <w:gridCol w:w="1165"/>
        <w:gridCol w:w="1165"/>
        <w:gridCol w:w="1165"/>
        <w:gridCol w:w="1165"/>
        <w:gridCol w:w="1165"/>
        <w:gridCol w:w="1165"/>
      </w:tblGrid>
      <w:tr>
        <w:trPr>
          <w:trHeight w:hRule="exact" w:val="208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real?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Or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is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this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all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happening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mind? 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120" w:right="9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Dumbledore gave him a big smile, and his voice sounded strong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loud in Harry’s ears, although the bright mist was descending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blocking the figure.</w:t>
      </w:r>
    </w:p>
    <w:p>
      <w:pPr>
        <w:autoSpaceDN w:val="0"/>
        <w:tabs>
          <w:tab w:pos="360" w:val="left"/>
        </w:tabs>
        <w:autoSpaceDE w:val="0"/>
        <w:widowControl/>
        <w:spacing w:line="245" w:lineRule="auto" w:before="136" w:after="0"/>
        <w:ind w:left="12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-Of course this is happening in your mind Harry, but why does that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mean this isn’t real?.</w:t>
      </w:r>
      <w:r>
        <w:rPr>
          <w:w w:val="104.94000434875488"/>
          <w:rFonts w:ascii="TimesNewRomanPSMT" w:hAnsi="TimesNewRomanPSMT" w:eastAsia="TimesNewRomanPSMT"/>
          <w:b w:val="0"/>
          <w:i w:val="0"/>
          <w:color w:val="221F1F"/>
          <w:sz w:val="10"/>
        </w:rPr>
        <w:t>7</w:t>
      </w:r>
    </w:p>
    <w:p>
      <w:pPr>
        <w:autoSpaceDN w:val="0"/>
        <w:autoSpaceDE w:val="0"/>
        <w:widowControl/>
        <w:spacing w:line="233" w:lineRule="auto" w:before="136" w:after="0"/>
        <w:ind w:left="36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Through the process of internal dialogue, a rich example of an 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336" w:val="left"/>
        </w:tabs>
        <w:autoSpaceDE w:val="0"/>
        <w:widowControl/>
        <w:spacing w:line="283" w:lineRule="auto" w:before="0" w:after="0"/>
        <w:ind w:left="96" w:right="0" w:firstLine="0"/>
        <w:jc w:val="left"/>
      </w:pPr>
      <w:r>
        <w:rPr>
          <w:rFonts w:ascii="GillSansMT" w:hAnsi="GillSansMT" w:eastAsia="GillSansMT"/>
          <w:b/>
          <w:i w:val="0"/>
          <w:color w:val="F37331"/>
          <w:sz w:val="24"/>
        </w:rPr>
        <w:t xml:space="preserve">Acknowledgements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Liliana Liviano Wahba, for the orientation of the monographs that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originate this paper.</w:t>
      </w:r>
    </w:p>
    <w:p>
      <w:pPr>
        <w:autoSpaceDN w:val="0"/>
        <w:tabs>
          <w:tab w:pos="336" w:val="left"/>
        </w:tabs>
        <w:autoSpaceDE w:val="0"/>
        <w:widowControl/>
        <w:spacing w:line="295" w:lineRule="auto" w:before="138" w:after="104"/>
        <w:ind w:left="96" w:right="1296" w:firstLine="0"/>
        <w:jc w:val="left"/>
      </w:pPr>
      <w:r>
        <w:rPr>
          <w:rFonts w:ascii="GillSansMT" w:hAnsi="GillSansMT" w:eastAsia="GillSansMT"/>
          <w:b/>
          <w:i w:val="0"/>
          <w:color w:val="F37331"/>
          <w:sz w:val="24"/>
        </w:rPr>
        <w:t xml:space="preserve">Conflict of interest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Author declares there are no conflicts of interest.</w:t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5243"/>
        <w:gridCol w:w="5243"/>
      </w:tblGrid>
      <w:tr>
        <w:trPr>
          <w:trHeight w:hRule="exact" w:val="1044"/>
        </w:trPr>
        <w:tc>
          <w:tcPr>
            <w:tcW w:type="dxa" w:w="5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60" w:right="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active imagination, Harry elaborates on his dilemmas, conflicts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traumas, and differentiates himself from the villain with the shattered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soul. Becoming the lord of death does not restrict him from collecting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the Deathly Hallows and wishing for an eternal life, but to understand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 xml:space="preserve">that death is inherent to life; life and death are members of the same 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5" w:lineRule="auto" w:before="34" w:after="0"/>
              <w:ind w:left="0" w:right="2160" w:firstLine="0"/>
              <w:jc w:val="center"/>
            </w:pPr>
            <w:r>
              <w:rPr>
                <w:rFonts w:ascii="GillSansMT" w:hAnsi="GillSansMT" w:eastAsia="GillSansMT"/>
                <w:b/>
                <w:i w:val="0"/>
                <w:color w:val="F37331"/>
                <w:sz w:val="24"/>
              </w:rPr>
              <w:t xml:space="preserve">Funding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8"/>
              </w:rPr>
              <w:t>None.</w:t>
            </w:r>
          </w:p>
          <w:p>
            <w:pPr>
              <w:autoSpaceDN w:val="0"/>
              <w:autoSpaceDE w:val="0"/>
              <w:widowControl/>
              <w:spacing w:line="240" w:lineRule="auto" w:before="138" w:after="0"/>
              <w:ind w:left="112" w:right="0" w:firstLine="0"/>
              <w:jc w:val="left"/>
            </w:pPr>
            <w:r>
              <w:rPr>
                <w:rFonts w:ascii="GillSansMT" w:hAnsi="GillSansMT" w:eastAsia="GillSansMT"/>
                <w:b/>
                <w:i w:val="0"/>
                <w:color w:val="F37331"/>
                <w:sz w:val="24"/>
              </w:rPr>
              <w:t>References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16"/>
        <w:ind w:left="0" w:right="0"/>
      </w:pP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50" w:lineRule="auto" w:before="0" w:after="0"/>
        <w:ind w:left="120" w:right="1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process. The desire of invulnerability would lose its meaning. Our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hero would glimpse the connection with totality, undoing his ego’s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identification with the archetype of the hero. Harry entered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Forbidden Forest without wanting to be seen, escorted by only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memory of those who loved him, and presented himself to the Lord of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Darkness without defending himself. The memory of his parents and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of his tutors of resilience helps him to confront his shadow, activating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the internal curator and avoiding fixation. Our hero acts in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opposite of Rick Blaine, the character portrayed by Humphrey Bogart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in </w:t>
      </w:r>
      <w:r>
        <w:rPr>
          <w:rFonts w:ascii="TimesNewRomanPS" w:hAnsi="TimesNewRomanPS" w:eastAsia="TimesNewRomanPS"/>
          <w:b w:val="0"/>
          <w:i/>
          <w:color w:val="221F1F"/>
          <w:sz w:val="18"/>
        </w:rPr>
        <w:t>Casablanca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, who gives up his beloved woman to patriarchically </w:t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2" w:equalWidth="0"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408" w:val="left"/>
        </w:tabs>
        <w:autoSpaceDE w:val="0"/>
        <w:widowControl/>
        <w:spacing w:line="245" w:lineRule="auto" w:before="24" w:after="0"/>
        <w:ind w:left="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19" w:history="1">
          <w:r>
            <w:rPr>
              <w:rStyle w:val="Hyperlink"/>
            </w:rPr>
            <w:t>Rowling JK. Harry Potter and the S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19" w:history="1">
          <w:r>
            <w:rPr>
              <w:rStyle w:val="Hyperlink"/>
            </w:rPr>
            <w:t xml:space="preserve">orcerer’s Stone. (1st edn),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19" w:history="1">
          <w:r>
            <w:rPr>
              <w:rStyle w:val="Hyperlink"/>
            </w:rPr>
            <w:t>Bloomsbury Publishing, UK. 1997. p.352.</w:t>
          </w:r>
        </w:hyperlink>
      </w:r>
    </w:p>
    <w:p>
      <w:pPr>
        <w:autoSpaceDN w:val="0"/>
        <w:tabs>
          <w:tab w:pos="408" w:val="left"/>
        </w:tabs>
        <w:autoSpaceDE w:val="0"/>
        <w:widowControl/>
        <w:spacing w:line="245" w:lineRule="auto" w:before="136" w:after="0"/>
        <w:ind w:left="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0" w:history="1">
          <w:r>
            <w:rPr>
              <w:rStyle w:val="Hyperlink"/>
            </w:rPr>
            <w:t>Rowling JK. Harry Potter and the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0" w:history="1">
          <w:r>
            <w:rPr>
              <w:rStyle w:val="Hyperlink"/>
            </w:rPr>
            <w:t xml:space="preserve">mber of Secrets.(1st edn),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0" w:history="1">
          <w:r>
            <w:rPr>
              <w:rStyle w:val="Hyperlink"/>
            </w:rPr>
            <w:t>Bloomsbury Publishing. UK. 2002. p. 384.</w:t>
          </w:r>
        </w:hyperlink>
      </w:r>
    </w:p>
    <w:p>
      <w:pPr>
        <w:autoSpaceDN w:val="0"/>
        <w:tabs>
          <w:tab w:pos="408" w:val="left"/>
        </w:tabs>
        <w:autoSpaceDE w:val="0"/>
        <w:widowControl/>
        <w:spacing w:line="245" w:lineRule="auto" w:before="136" w:after="0"/>
        <w:ind w:left="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3.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1" w:history="1">
          <w:r>
            <w:rPr>
              <w:rStyle w:val="Hyperlink"/>
            </w:rPr>
            <w:t>Rowling JK. Harry Potter and the Pris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1" w:history="1">
          <w:r>
            <w:rPr>
              <w:rStyle w:val="Hyperlink"/>
            </w:rPr>
            <w:t>oner of Azkaban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21" w:history="1">
          <w:r>
            <w:rPr>
              <w:rStyle w:val="Hyperlink"/>
            </w:rPr>
            <w:t xml:space="preserve">.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1" w:history="1">
          <w:r>
            <w:rPr>
              <w:rStyle w:val="Hyperlink"/>
            </w:rPr>
            <w:t xml:space="preserve">(1st edn),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1" w:history="1">
          <w:r>
            <w:rPr>
              <w:rStyle w:val="Hyperlink"/>
            </w:rPr>
            <w:t>Bloomsbury Publishing, UK. 1999. p.480.</w:t>
          </w:r>
        </w:hyperlink>
      </w:r>
    </w:p>
    <w:p>
      <w:pPr>
        <w:autoSpaceDN w:val="0"/>
        <w:tabs>
          <w:tab w:pos="408" w:val="left"/>
        </w:tabs>
        <w:autoSpaceDE w:val="0"/>
        <w:widowControl/>
        <w:spacing w:line="245" w:lineRule="auto" w:before="136" w:after="354"/>
        <w:ind w:left="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4.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2" w:history="1">
          <w:r>
            <w:rPr>
              <w:rStyle w:val="Hyperlink"/>
            </w:rPr>
            <w:t>Rowling JK. Harr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2" w:history="1">
          <w:r>
            <w:rPr>
              <w:rStyle w:val="Hyperlink"/>
            </w:rPr>
            <w:t>y Potter and the Goblet of Fire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2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2" w:history="1">
          <w:r>
            <w:rPr>
              <w:rStyle w:val="Hyperlink"/>
            </w:rPr>
            <w:t xml:space="preserve"> Bloonbury Publishing,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2" w:history="1">
          <w:r>
            <w:rPr>
              <w:rStyle w:val="Hyperlink"/>
            </w:rPr>
            <w:t>UK. 2000. p. 640.</w:t>
          </w:r>
        </w:hyperlink>
      </w:r>
    </w:p>
    <w:p>
      <w:pPr>
        <w:sectPr>
          <w:type w:val="nextColumn"/>
          <w:pgSz w:w="11906" w:h="16838"/>
          <w:pgMar w:top="410" w:right="700" w:bottom="376" w:left="720" w:header="720" w:footer="720" w:gutter="0"/>
          <w:cols w:space="720" w:num="2" w:equalWidth="0"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p>
      <w:pPr>
        <w:sectPr>
          <w:type w:val="continuous"/>
          <w:pgSz w:w="11906" w:h="16838"/>
          <w:pgMar w:top="410" w:right="700" w:bottom="376" w:left="720" w:header="720" w:footer="720" w:gutter="0"/>
          <w:cols w:space="720" w:num="1" w:equalWidth="0">
            <w:col w:w="10486" w:space="0"/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8"/>
        <w:ind w:left="0" w:right="0"/>
      </w:pPr>
    </w:p>
    <w:p>
      <w:pPr>
        <w:autoSpaceDN w:val="0"/>
        <w:autoSpaceDE w:val="0"/>
        <w:widowControl/>
        <w:spacing w:line="4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3495"/>
        <w:gridCol w:w="3495"/>
        <w:gridCol w:w="3495"/>
      </w:tblGrid>
      <w:tr>
        <w:trPr>
          <w:trHeight w:hRule="exact" w:val="196"/>
        </w:trPr>
        <w:tc>
          <w:tcPr>
            <w:tcW w:type="dxa" w:w="6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60" w:right="0" w:firstLine="0"/>
              <w:jc w:val="left"/>
            </w:pPr>
            <w:r>
              <w:rPr>
                <w:rFonts w:ascii="GillSansMT" w:hAnsi="GillSansMT" w:eastAsia="GillSansMT"/>
                <w:b w:val="0"/>
                <w:i/>
                <w:color w:val="221F1F"/>
                <w:sz w:val="16"/>
              </w:rPr>
              <w:t>Harry potter and the tutors of resilience: an analytic view of j. k. rolling tales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" w:after="0"/>
              <w:ind w:left="0" w:right="124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Copyright: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56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16"/>
              </w:rPr>
              <w:t>7</w:t>
            </w:r>
          </w:p>
        </w:tc>
      </w:tr>
      <w:tr>
        <w:trPr>
          <w:trHeight w:hRule="exact" w:val="222"/>
        </w:trPr>
        <w:tc>
          <w:tcPr>
            <w:tcW w:type="dxa" w:w="3495"/>
            <w:vMerge/>
            <w:tcBorders/>
          </w:tcPr>
          <w:p/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0" w:right="138" w:firstLine="0"/>
              <w:jc w:val="right"/>
            </w:pPr>
            <w:r>
              <w:rPr>
                <w:rFonts w:ascii="GillSansMT" w:hAnsi="GillSansMT" w:eastAsia="GillSansMT"/>
                <w:b w:val="0"/>
                <w:i w:val="0"/>
                <w:color w:val="221F1F"/>
                <w:sz w:val="14"/>
              </w:rPr>
              <w:t>©2017 Moreira</w:t>
            </w:r>
          </w:p>
        </w:tc>
        <w:tc>
          <w:tcPr>
            <w:tcW w:type="dxa" w:w="349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10"/>
        <w:ind w:left="0" w:right="0"/>
      </w:pPr>
    </w:p>
    <w:p>
      <w:pPr>
        <w:sectPr>
          <w:pgSz w:w="11906" w:h="16838"/>
          <w:pgMar w:top="398" w:right="700" w:bottom="376" w:left="720" w:header="720" w:footer="720" w:gutter="0"/>
          <w:cols w:space="720" w:num="1" w:equalWidth="0">
            <w:col w:w="10486" w:space="0"/>
            <w:col w:w="10486" w:space="0"/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520" w:val="left"/>
        </w:tabs>
        <w:autoSpaceDE w:val="0"/>
        <w:widowControl/>
        <w:spacing w:line="245" w:lineRule="auto" w:before="24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5.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3" w:history="1">
          <w:r>
            <w:rPr>
              <w:rStyle w:val="Hyperlink"/>
            </w:rPr>
            <w:t>Rowling JK. Harry Potter and the Order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3" w:history="1">
          <w:r>
            <w:rPr>
              <w:rStyle w:val="Hyperlink"/>
            </w:rPr>
            <w:t xml:space="preserve"> of the Phoenix. (1st edn),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3" w:history="1">
          <w:r>
            <w:rPr>
              <w:rStyle w:val="Hyperlink"/>
            </w:rPr>
            <w:t>Bloomsbury Publishing, UK. 2003. p. 7 68.</w:t>
          </w:r>
        </w:hyperlink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6.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4" w:history="1">
          <w:r>
            <w:rPr>
              <w:rStyle w:val="Hyperlink"/>
            </w:rPr>
            <w:t xml:space="preserve">Rowling JK. Harry Potter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4" w:history="1">
          <w:r>
            <w:rPr>
              <w:rStyle w:val="Hyperlink"/>
            </w:rPr>
            <w:t xml:space="preserve">and the Half-Blood Prince. Bloomsbery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4" w:history="1">
          <w:r>
            <w:rPr>
              <w:rStyle w:val="Hyperlink"/>
            </w:rPr>
            <w:t>publishing, UK. 2005. p.608.</w:t>
          </w:r>
        </w:hyperlink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7.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5" w:history="1">
          <w:r>
            <w:rPr>
              <w:rStyle w:val="Hyperlink"/>
            </w:rPr>
            <w:t>Rowling JK. Harry Potter and the D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5" w:history="1">
          <w:r>
            <w:rPr>
              <w:rStyle w:val="Hyperlink"/>
            </w:rPr>
            <w:t xml:space="preserve">eathly Hallows. (1st edn),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5" w:history="1">
          <w:r>
            <w:rPr>
              <w:rStyle w:val="Hyperlink"/>
            </w:rPr>
            <w:t>Bloomsbury Publishing, UK. 2007. p. 608.</w:t>
          </w:r>
        </w:hyperlink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8.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6" w:history="1">
          <w:r>
            <w:rPr>
              <w:rStyle w:val="Hyperlink"/>
            </w:rPr>
            <w:t>Gwilym S. Harry Potter cast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6" w:history="1">
          <w:r>
            <w:rPr>
              <w:rStyle w:val="Hyperlink"/>
            </w:rPr>
            <w:t>s a spell on accident prone children.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26" w:history="1">
          <w:r>
            <w:rPr>
              <w:rStyle w:val="Hyperlink"/>
            </w:rPr>
            <w:t xml:space="preserve"> BMJ .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6" w:history="1">
          <w:r>
            <w:rPr>
              <w:rStyle w:val="Hyperlink"/>
            </w:rPr>
            <w:t>2005;331(7531):1505‒1506.</w:t>
          </w:r>
        </w:hyperlink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30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9. Harry Potter and the Philosopher’s Stone. Directed by Christopher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Columbus. Warner Bros, USA &amp; UK. 2001.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10. Harry Potter and the Chamber of Secrets. Directed by Christopher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Columbus. Warner Bros, USA &amp; UK. 2002.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11. Harry Potter and the Prisoner of Azkaban. Directed by Alfonso Cuarón.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Warner Bros, USA &amp; UK. 2004.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12. Harry Potter and the Globet of Fire. Directed by Mike Newell. Warner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Bros, USA &amp; UK. 2005.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13. Harry Potter and the Order of the Phoenix. Directed by David Yates.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Warner Bros, USA &amp; UK. 2007.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14. Harry Potter and the Half-Blood Prince. Directed by David Yates.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Warner Bros, USA &amp; UK. 2009.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15. Harry Potter and the Deathly Hallows-part1. Directed by David Yates.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Warner Bros, USA &amp; UK. 2010.</w:t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16. Harry Potter and the Deathly Hallows-part2. Directed by David Yates.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Warner Bros, USA &amp; UK. 2011.</w:t>
      </w:r>
    </w:p>
    <w:p>
      <w:pPr>
        <w:autoSpaceDN w:val="0"/>
        <w:autoSpaceDE w:val="0"/>
        <w:widowControl/>
        <w:spacing w:line="233" w:lineRule="auto" w:before="1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17.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7" w:history="1">
          <w:r>
            <w:rPr>
              <w:rStyle w:val="Hyperlink"/>
            </w:rPr>
            <w:t xml:space="preserve">Pinheiro DA. Resiliência em Discussão. 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27" w:history="1">
          <w:r>
            <w:rPr>
              <w:rStyle w:val="Hyperlink"/>
            </w:rPr>
            <w:t xml:space="preserve">Psicol estud. 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7" w:history="1">
          <w:r>
            <w:rPr>
              <w:rStyle w:val="Hyperlink"/>
            </w:rPr>
            <w:t>2004;9(1):67‒75.</w:t>
          </w:r>
        </w:hyperlink>
      </w:r>
    </w:p>
    <w:p>
      <w:pPr>
        <w:autoSpaceDN w:val="0"/>
        <w:tabs>
          <w:tab w:pos="520" w:val="left"/>
        </w:tabs>
        <w:autoSpaceDE w:val="0"/>
        <w:widowControl/>
        <w:spacing w:line="245" w:lineRule="auto" w:before="134" w:after="0"/>
        <w:ind w:left="24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18. Infante FA. Resiliência como Processo: Uma Revisão da Literatura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Recente. In: Aldo Melillo, et al. Resiliência. 2005;23‒38.</w:t>
      </w:r>
    </w:p>
    <w:p>
      <w:pPr>
        <w:sectPr>
          <w:type w:val="continuous"/>
          <w:pgSz w:w="11906" w:h="16838"/>
          <w:pgMar w:top="398" w:right="700" w:bottom="376" w:left="720" w:header="720" w:footer="720" w:gutter="0"/>
          <w:cols w:space="720" w:num="2" w:equalWidth="0">
            <w:col w:w="5348" w:space="0"/>
            <w:col w:w="5138" w:space="0"/>
            <w:col w:w="10486" w:space="0"/>
            <w:col w:w="10486" w:space="0"/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tabs>
          <w:tab w:pos="404" w:val="left"/>
        </w:tabs>
        <w:autoSpaceDE w:val="0"/>
        <w:widowControl/>
        <w:spacing w:line="245" w:lineRule="auto" w:before="0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19. Ralha-Simões H. Resiliência e desenvolvimento pessoal. Em: Tavares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(Org.), Resiliência e educação. Cortez, São Paulo, Brazil. 2001.</w:t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20.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8" w:history="1">
          <w:r>
            <w:rPr>
              <w:rStyle w:val="Hyperlink"/>
            </w:rPr>
            <w:t>Moreira FG. Resiliência no B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8" w:history="1">
          <w:r>
            <w:rPr>
              <w:rStyle w:val="Hyperlink"/>
            </w:rPr>
            <w:t xml:space="preserve">rejo da Cruz: Sobrevivência e Individuação. </w:t>
          </w:r>
        </w:hyperlink>
      </w:r>
      <w:r>
        <w:tab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28" w:history="1">
          <w:r>
            <w:rPr>
              <w:rStyle w:val="Hyperlink"/>
            </w:rPr>
            <w:t>Junguiana.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8" w:history="1">
          <w:r>
            <w:rPr>
              <w:rStyle w:val="Hyperlink"/>
            </w:rPr>
            <w:t xml:space="preserve"> 2011;29(1):1‒12.</w:t>
          </w:r>
        </w:hyperlink>
      </w:r>
    </w:p>
    <w:p>
      <w:pPr>
        <w:autoSpaceDN w:val="0"/>
        <w:autoSpaceDE w:val="0"/>
        <w:widowControl/>
        <w:spacing w:line="245" w:lineRule="auto" w:before="134" w:after="0"/>
        <w:ind w:left="404" w:right="100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21. Araujo CA. Introdução: Resiliência ontem, hoje e amanhã. Em: Araujo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CA, Mello MA, Rios AMG Resiliência: Teorias e Práticas de Pesquisa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em Psicologia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.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: Ithaka Books, São Paulo, Brazil. 2011.</w:t>
      </w:r>
    </w:p>
    <w:p>
      <w:pPr>
        <w:autoSpaceDN w:val="0"/>
        <w:autoSpaceDE w:val="0"/>
        <w:widowControl/>
        <w:spacing w:line="245" w:lineRule="auto" w:before="134" w:after="0"/>
        <w:ind w:left="404" w:right="0" w:hanging="28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22. Wahba LL. Nosso Herói Atual: Um Herói da Complexidade. Desafios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da prática: o paciente e o continente:Anais do II Congresso Latino-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Americano de Psicologia Junguiana. Lector, Brazil. 2003. p.217‒223.</w:t>
      </w:r>
    </w:p>
    <w:p>
      <w:pPr>
        <w:autoSpaceDN w:val="0"/>
        <w:autoSpaceDE w:val="0"/>
        <w:widowControl/>
        <w:spacing w:line="245" w:lineRule="auto" w:before="134" w:after="0"/>
        <w:ind w:left="404" w:right="100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23. Grotberg EH. Introdução: Novas Tendências em Resiliência. Em: Em: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Melillo A, Néstor E, OJEDA S. Resiliência: descobrindo as próprias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fortalezas. 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Artmed, Porto Alegre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, Brazil. 2005.</w:t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24.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9" w:history="1">
          <w:r>
            <w:rPr>
              <w:rStyle w:val="Hyperlink"/>
            </w:rPr>
            <w:t>Melillo A, Estamatti M, Cuestas A. Alguns Fundamentos Psic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9" w:history="1">
          <w:r>
            <w:rPr>
              <w:rStyle w:val="Hyperlink"/>
            </w:rPr>
            <w:t xml:space="preserve">ológicos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29" w:history="1">
          <w:r>
            <w:rPr>
              <w:rStyle w:val="Hyperlink"/>
            </w:rPr>
            <w:t>do Conceito de Resiliência. In: Aldo Melillo. Resiliência. 2005.</w:t>
          </w:r>
        </w:hyperlink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25.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0" w:history="1">
          <w:r>
            <w:rPr>
              <w:rStyle w:val="Hyperlink"/>
            </w:rPr>
            <w:t>Cyrulnik BO. Murmú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0" w:history="1">
          <w:r>
            <w:rPr>
              <w:rStyle w:val="Hyperlink"/>
            </w:rPr>
            <w:t>rio dos fantasmas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30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0" w:history="1">
          <w:r>
            <w:rPr>
              <w:rStyle w:val="Hyperlink"/>
            </w:rPr>
            <w:t xml:space="preserve"> (1st edn), Martins Fontes - selo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0" w:history="1">
          <w:r>
            <w:rPr>
              <w:rStyle w:val="Hyperlink"/>
            </w:rPr>
            <w:t>Martins, Brazil. 2005.</w:t>
          </w:r>
        </w:hyperlink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26.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1" w:history="1">
          <w:r>
            <w:rPr>
              <w:rStyle w:val="Hyperlink"/>
            </w:rPr>
            <w:t>Moreira FG, Oliveira L. O Elogio à Diversidade: H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1" w:history="1">
          <w:r>
            <w:rPr>
              <w:rStyle w:val="Hyperlink"/>
            </w:rPr>
            <w:t xml:space="preserve">ogwarts, uma Escola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1" w:history="1">
          <w:r>
            <w:rPr>
              <w:rStyle w:val="Hyperlink"/>
            </w:rPr>
            <w:t xml:space="preserve">Promotora de Saúde. </w:t>
          </w:r>
        </w:hyperlink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hyperlink r:id="rId31" w:history="1">
          <w:r>
            <w:rPr>
              <w:rStyle w:val="Hyperlink"/>
            </w:rPr>
            <w:t>Junguiana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1" w:history="1">
          <w:r>
            <w:rPr>
              <w:rStyle w:val="Hyperlink"/>
            </w:rPr>
            <w:t>. 2012;30(2):1‒13.</w:t>
          </w:r>
        </w:hyperlink>
      </w:r>
    </w:p>
    <w:p>
      <w:pPr>
        <w:autoSpaceDN w:val="0"/>
        <w:autoSpaceDE w:val="0"/>
        <w:widowControl/>
        <w:spacing w:line="245" w:lineRule="auto" w:before="134" w:after="0"/>
        <w:ind w:left="404" w:right="100" w:hanging="28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27. Gerhold C. The Hero’s Journey Through Adolescence: A Jungian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Archetypal Analysis of Harry Potter. PhD diss., The Chicago School of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Professional Psychology. Chicago, USA. 2010.</w:t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28. Jung CG. The Phenomenology of the Spirit in Fairytales. The Archetypes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and the Collective Unconscious</w:t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CW. 1942; 9‒1.</w:t>
      </w:r>
    </w:p>
    <w:p>
      <w:pPr>
        <w:autoSpaceDN w:val="0"/>
        <w:tabs>
          <w:tab w:pos="404" w:val="left"/>
        </w:tabs>
        <w:autoSpaceDE w:val="0"/>
        <w:widowControl/>
        <w:spacing w:line="245" w:lineRule="auto" w:before="134" w:after="0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29. 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2" w:history="1">
          <w:r>
            <w:rPr>
              <w:rStyle w:val="Hyperlink"/>
            </w:rPr>
            <w:t>Dash RK. Chasing the Shadow: is the Harry Potter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2" w:history="1">
          <w:r>
            <w:rPr>
              <w:rStyle w:val="Hyperlink"/>
            </w:rPr>
            <w:t xml:space="preserve"> Series a Political </w:t>
          </w:r>
        </w:hyperlink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hyperlink r:id="rId32" w:history="1">
          <w:r>
            <w:rPr>
              <w:rStyle w:val="Hyperlink"/>
            </w:rPr>
            <w:t>Discourse? Language in India. 2012; 12(3):458‒467.</w:t>
          </w:r>
        </w:hyperlink>
      </w:r>
    </w:p>
    <w:p>
      <w:pPr>
        <w:autoSpaceDN w:val="0"/>
        <w:autoSpaceDE w:val="0"/>
        <w:widowControl/>
        <w:spacing w:line="233" w:lineRule="auto" w:before="134" w:after="7254"/>
        <w:ind w:left="12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30. Jung CG. Símbolos da Transformação, CW 5. 1913/1973.</w:t>
      </w:r>
    </w:p>
    <w:p>
      <w:pPr>
        <w:sectPr>
          <w:type w:val="nextColumn"/>
          <w:pgSz w:w="11906" w:h="16838"/>
          <w:pgMar w:top="398" w:right="700" w:bottom="376" w:left="720" w:header="720" w:footer="720" w:gutter="0"/>
          <w:cols w:space="720" w:num="2" w:equalWidth="0">
            <w:col w:w="5348" w:space="0"/>
            <w:col w:w="5138" w:space="0"/>
            <w:col w:w="10486" w:space="0"/>
            <w:col w:w="10486" w:space="0"/>
            <w:col w:w="5344" w:space="0"/>
            <w:col w:w="5141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0486" w:space="0"/>
            <w:col w:w="5256" w:space="0"/>
            <w:col w:w="5229" w:space="0"/>
            <w:col w:w="10486" w:space="0"/>
            <w:col w:w="5256" w:space="0"/>
            <w:col w:w="5229" w:space="0"/>
            <w:col w:w="10486" w:space="0"/>
            <w:col w:w="11208" w:space="0"/>
            <w:col w:w="5976" w:space="0"/>
            <w:col w:w="5231" w:space="0"/>
            <w:col w:w="11208" w:space="0"/>
            <w:col w:w="7008" w:space="0"/>
            <w:col w:w="4200" w:space="0"/>
            <w:col w:w="11208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154" w:after="0"/>
        <w:ind w:left="80" w:right="1296" w:firstLine="0"/>
        <w:jc w:val="left"/>
      </w:pPr>
      <w:r>
        <w:rPr>
          <w:rFonts w:ascii="GillSansMT" w:hAnsi="GillSansMT" w:eastAsia="GillSansMT"/>
          <w:b/>
          <w:i w:val="0"/>
          <w:color w:val="221F1F"/>
          <w:sz w:val="16"/>
        </w:rPr>
        <w:t>Citation: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 Moreira FG. Harry potter and the tutors of resilience: an analytic view of j. k. rolling tales. </w:t>
      </w:r>
      <w:r>
        <w:rPr>
          <w:rFonts w:ascii="GillSansMT" w:hAnsi="GillSansMT" w:eastAsia="GillSansMT"/>
          <w:b w:val="0"/>
          <w:i/>
          <w:color w:val="221F1F"/>
          <w:sz w:val="16"/>
        </w:rPr>
        <w:t xml:space="preserve">J Psychol Clin Psychiatry.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>2017;8(3):11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‒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12.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t xml:space="preserve">DOI: </w:t>
      </w:r>
      <w:r>
        <w:rPr>
          <w:rFonts w:ascii="GillSansMT" w:hAnsi="GillSansMT" w:eastAsia="GillSansMT"/>
          <w:b w:val="0"/>
          <w:i w:val="0"/>
          <w:color w:val="221F1F"/>
          <w:sz w:val="16"/>
        </w:rPr>
        <w:hyperlink r:id="rId17" w:history="1">
          <w:r>
            <w:rPr>
              <w:rStyle w:val="Hyperlink"/>
            </w:rPr>
            <w:t>10.15406/jpcpy.2017.08.00485</w:t>
          </w:r>
        </w:hyperlink>
      </w:r>
    </w:p>
    <w:sectPr w:rsidR="00FC693F" w:rsidRPr="0006063C" w:rsidSect="00034616">
      <w:type w:val="continuous"/>
      <w:pgSz w:w="11906" w:h="16838"/>
      <w:pgMar w:top="398" w:right="700" w:bottom="376" w:left="720" w:header="720" w:footer="720" w:gutter="0"/>
      <w:cols w:space="720" w:num="1" w:equalWidth="0">
        <w:col w:w="10486" w:space="0"/>
        <w:col w:w="5348" w:space="0"/>
        <w:col w:w="5138" w:space="0"/>
        <w:col w:w="10486" w:space="0"/>
        <w:col w:w="10486" w:space="0"/>
        <w:col w:w="5344" w:space="0"/>
        <w:col w:w="5141" w:space="0"/>
        <w:col w:w="10486" w:space="0"/>
        <w:col w:w="5256" w:space="0"/>
        <w:col w:w="5229" w:space="0"/>
        <w:col w:w="10486" w:space="0"/>
        <w:col w:w="5256" w:space="0"/>
        <w:col w:w="5229" w:space="0"/>
        <w:col w:w="10486" w:space="0"/>
        <w:col w:w="10486" w:space="0"/>
        <w:col w:w="5256" w:space="0"/>
        <w:col w:w="5229" w:space="0"/>
        <w:col w:w="10486" w:space="0"/>
        <w:col w:w="10486" w:space="0"/>
        <w:col w:w="5256" w:space="0"/>
        <w:col w:w="5229" w:space="0"/>
        <w:col w:w="10486" w:space="0"/>
        <w:col w:w="10486" w:space="0"/>
        <w:col w:w="5256" w:space="0"/>
        <w:col w:w="5229" w:space="0"/>
        <w:col w:w="10486" w:space="0"/>
        <w:col w:w="5256" w:space="0"/>
        <w:col w:w="5229" w:space="0"/>
        <w:col w:w="10486" w:space="0"/>
        <w:col w:w="10486" w:space="0"/>
        <w:col w:w="5256" w:space="0"/>
        <w:col w:w="5229" w:space="0"/>
        <w:col w:w="10486" w:space="0"/>
        <w:col w:w="5256" w:space="0"/>
        <w:col w:w="5229" w:space="0"/>
        <w:col w:w="10486" w:space="0"/>
        <w:col w:w="11208" w:space="0"/>
        <w:col w:w="5976" w:space="0"/>
        <w:col w:w="5231" w:space="0"/>
        <w:col w:w="11208" w:space="0"/>
        <w:col w:w="7008" w:space="0"/>
        <w:col w:w="4200" w:space="0"/>
        <w:col w:w="1120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crossmark.crossref.org/dialog/?doi=10.15406/jpcpy.2017.07.00485&amp;domain=pdf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doi.org/10.15406/jpcpy.2017.07.00485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s://bloomsbury.com/uk/harry-potter-and-the-philosophers-stone-9781408855652/" TargetMode="External"/><Relationship Id="rId20" Type="http://schemas.openxmlformats.org/officeDocument/2006/relationships/hyperlink" Target="https://bloomsbury.com/uk/harry-potter-and-the-chamber-of-secrets-9781408855669/" TargetMode="External"/><Relationship Id="rId21" Type="http://schemas.openxmlformats.org/officeDocument/2006/relationships/hyperlink" Target="https://bloomsbury.com/uk/harry-potter-and-the-prisoner-of-azkaban-9781408855911/" TargetMode="External"/><Relationship Id="rId22" Type="http://schemas.openxmlformats.org/officeDocument/2006/relationships/hyperlink" Target="https://bloomsbury.com/uk/harry-potter-and-the-goblet-of-fire-9781408855683/" TargetMode="External"/><Relationship Id="rId23" Type="http://schemas.openxmlformats.org/officeDocument/2006/relationships/hyperlink" Target="https://www.bloomsbury.com/uk/harry-potter-and-the-order-of-the-phoenix-9780747551003/" TargetMode="External"/><Relationship Id="rId24" Type="http://schemas.openxmlformats.org/officeDocument/2006/relationships/hyperlink" Target="https://www.bloomsbury.com/uk/harry-potter-and-the-half-blood-prince-9780747581086/" TargetMode="External"/><Relationship Id="rId25" Type="http://schemas.openxmlformats.org/officeDocument/2006/relationships/hyperlink" Target="https://www.bloomsbury.com/uk/harry-potter-and-the-deathly-hallows-9780747591054/" TargetMode="External"/><Relationship Id="rId26" Type="http://schemas.openxmlformats.org/officeDocument/2006/relationships/hyperlink" Target="http://www.bmj.com/content/331/7531/1505" TargetMode="External"/><Relationship Id="rId27" Type="http://schemas.openxmlformats.org/officeDocument/2006/relationships/hyperlink" Target="http://www.scielo.br/scielo.php?pid=S1413-73722004000100009&amp;script=sci_abstract&amp;tlng=pt" TargetMode="External"/><Relationship Id="rId28" Type="http://schemas.openxmlformats.org/officeDocument/2006/relationships/hyperlink" Target="http://fernandagmoreira.com.br/papers/j29.pdf" TargetMode="External"/><Relationship Id="rId29" Type="http://schemas.openxmlformats.org/officeDocument/2006/relationships/hyperlink" Target="http://loja.grupoa.com.br/livros/psicologia-da-saude/resiliencia/8536305223" TargetMode="External"/><Relationship Id="rId30" Type="http://schemas.openxmlformats.org/officeDocument/2006/relationships/hyperlink" Target="http://www.emartinsfontes.com.br/murmurio-dos-fantasmas-o-p19160/" TargetMode="External"/><Relationship Id="rId31" Type="http://schemas.openxmlformats.org/officeDocument/2006/relationships/hyperlink" Target="http://fernandagmoreira.com.br/papers/j30.pdf" TargetMode="External"/><Relationship Id="rId32" Type="http://schemas.openxmlformats.org/officeDocument/2006/relationships/hyperlink" Target="http://connection.ebscohost.com/c/articles/75065004/chasing-shadow-harry-potter-series-political-dis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