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1"/>
        <w:gridCol w:w="3961"/>
        <w:gridCol w:w="3961"/>
      </w:tblGrid>
      <w:tr>
        <w:trPr>
          <w:trHeight w:hRule="exact" w:val="842"/>
        </w:trPr>
        <w:tc>
          <w:tcPr>
            <w:tcW w:type="dxa" w:w="2008"/>
            <w:vMerge w:val="restart"/>
            <w:tcBorders>
              <w:bottom w:sz="16.0" w:val="single" w:color="#13247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79830" cy="15824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1582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428" w:after="0"/>
              <w:ind w:left="13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0000"/>
                <w:sz w:val="30"/>
              </w:rPr>
              <w:t>School Effectiveness and School Improvement</w:t>
            </w:r>
          </w:p>
        </w:tc>
        <w:tc>
          <w:tcPr>
            <w:tcW w:type="dxa" w:w="1674"/>
            <w:vMerge w:val="restart"/>
            <w:tcBorders>
              <w:bottom w:sz="16.0" w:val="single" w:color="#13247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4400" cy="2565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6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00"/>
        </w:trPr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4" w:after="0"/>
              <w:ind w:left="13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60605B"/>
                <w:sz w:val="24"/>
              </w:rPr>
              <w:t>An International Journal of Research, Policy and Practice</w:t>
            </w:r>
          </w:p>
        </w:tc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</w:tr>
      <w:tr>
        <w:trPr>
          <w:trHeight w:hRule="exact" w:val="850"/>
        </w:trPr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  <w:tc>
          <w:tcPr>
            <w:tcW w:type="dxa" w:w="8180"/>
            <w:tcBorders>
              <w:bottom w:sz="16.0" w:val="single" w:color="#13247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2" w:after="0"/>
              <w:ind w:left="0" w:right="0" w:firstLine="0"/>
              <w:jc w:val="center"/>
            </w:pPr>
            <w:r>
              <w:rPr>
                <w:rFonts w:ascii="OpenSans" w:hAnsi="OpenSans" w:eastAsia="OpenSans"/>
                <w:b/>
                <w:i w:val="0"/>
                <w:color w:val="000000"/>
                <w:sz w:val="16"/>
              </w:rPr>
              <w:t xml:space="preserve">ISSN: 0924-3453 (Print) 1744-5124 (Online) Journal homepage: </w:t>
            </w:r>
            <w:r>
              <w:rPr>
                <w:rFonts w:ascii="OpenSans" w:hAnsi="OpenSans" w:eastAsia="OpenSans"/>
                <w:b/>
                <w:i w:val="0"/>
                <w:color w:val="000000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https://www.tandfonline.com/loi/nses20</w:t>
                </w:r>
              </w:hyperlink>
            </w:r>
          </w:p>
        </w:tc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</w:tr>
    </w:tbl>
    <w:p>
      <w:pPr>
        <w:autoSpaceDN w:val="0"/>
        <w:autoSpaceDE w:val="0"/>
        <w:widowControl/>
        <w:spacing w:line="420" w:lineRule="exact" w:before="440" w:after="0"/>
        <w:ind w:left="1530" w:right="2124" w:firstLine="0"/>
        <w:jc w:val="both"/>
      </w:pPr>
      <w:r>
        <w:rPr>
          <w:rFonts w:ascii="OpenSans" w:hAnsi="OpenSans" w:eastAsia="OpenSans"/>
          <w:b/>
          <w:i w:val="0"/>
          <w:color w:val="000000"/>
          <w:sz w:val="36"/>
        </w:rPr>
        <w:t xml:space="preserve">Preschool and primary school influences on the </w:t>
      </w:r>
      <w:r>
        <w:rPr>
          <w:rFonts w:ascii="OpenSans" w:hAnsi="OpenSans" w:eastAsia="OpenSans"/>
          <w:b/>
          <w:i w:val="0"/>
          <w:color w:val="000000"/>
          <w:sz w:val="36"/>
        </w:rPr>
        <w:t xml:space="preserve">development of children's early numeracy skills </w:t>
      </w:r>
      <w:r>
        <w:rPr>
          <w:rFonts w:ascii="OpenSans" w:hAnsi="OpenSans" w:eastAsia="OpenSans"/>
          <w:b/>
          <w:i w:val="0"/>
          <w:color w:val="000000"/>
          <w:sz w:val="36"/>
        </w:rPr>
        <w:t>between the ages of 3 and 7 years in Germany</w:t>
      </w:r>
    </w:p>
    <w:p>
      <w:pPr>
        <w:autoSpaceDN w:val="0"/>
        <w:autoSpaceDE w:val="0"/>
        <w:widowControl/>
        <w:spacing w:line="326" w:lineRule="exact" w:before="486" w:after="0"/>
        <w:ind w:left="0" w:right="0" w:firstLine="0"/>
        <w:jc w:val="center"/>
      </w:pPr>
      <w:r>
        <w:rPr>
          <w:rFonts w:ascii="OpenSans" w:hAnsi="OpenSans" w:eastAsia="OpenSans"/>
          <w:b/>
          <w:i w:val="0"/>
          <w:color w:val="000000"/>
          <w:sz w:val="24"/>
        </w:rPr>
        <w:t>Yvonne Anders , Christiane Grosse , Hans-Günther Rossbach , Susanne Ebert</w:t>
      </w:r>
    </w:p>
    <w:p>
      <w:pPr>
        <w:autoSpaceDN w:val="0"/>
        <w:autoSpaceDE w:val="0"/>
        <w:widowControl/>
        <w:spacing w:line="326" w:lineRule="exact" w:before="0" w:after="0"/>
        <w:ind w:left="1530" w:right="0" w:firstLine="0"/>
        <w:jc w:val="left"/>
      </w:pPr>
      <w:r>
        <w:rPr>
          <w:rFonts w:ascii="OpenSans" w:hAnsi="OpenSans" w:eastAsia="OpenSans"/>
          <w:b/>
          <w:i w:val="0"/>
          <w:color w:val="000000"/>
          <w:sz w:val="24"/>
        </w:rPr>
        <w:t>&amp; Sabine Weinert</w:t>
      </w:r>
    </w:p>
    <w:p>
      <w:pPr>
        <w:autoSpaceDN w:val="0"/>
        <w:autoSpaceDE w:val="0"/>
        <w:widowControl/>
        <w:spacing w:line="272" w:lineRule="exact" w:before="422" w:after="0"/>
        <w:ind w:left="0" w:right="0" w:firstLine="0"/>
        <w:jc w:val="center"/>
      </w:pPr>
      <w:r>
        <w:rPr>
          <w:rFonts w:ascii="OpenSans" w:hAnsi="OpenSans" w:eastAsia="OpenSans"/>
          <w:b/>
          <w:i w:val="0"/>
          <w:color w:val="000000"/>
          <w:sz w:val="20"/>
        </w:rPr>
        <w:t>To cite this article:</w:t>
      </w:r>
      <w:r>
        <w:rPr>
          <w:rFonts w:ascii="ArialUnicodeMS" w:hAnsi="ArialUnicodeMS" w:eastAsia="ArialUnicodeMS"/>
          <w:b w:val="0"/>
          <w:i w:val="0"/>
          <w:color w:val="000000"/>
          <w:sz w:val="20"/>
        </w:rPr>
        <w:t xml:space="preserve"> Yvonne Anders , Christiane Grosse , Hans-Günther Rossbach , Susanne Ebert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000000"/>
          <w:sz w:val="20"/>
        </w:rPr>
        <w:t>&amp; Sabine Weinert (2013) Preschool and primary school influences on the development of children's</w:t>
      </w:r>
    </w:p>
    <w:p>
      <w:pPr>
        <w:autoSpaceDN w:val="0"/>
        <w:autoSpaceDE w:val="0"/>
        <w:widowControl/>
        <w:spacing w:line="268" w:lineRule="exact" w:before="0" w:after="0"/>
        <w:ind w:left="153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0"/>
        </w:rPr>
        <w:t>early numeracy skills between the ages of 3 and 7 years in Germany, School Effectiveness and</w:t>
      </w:r>
    </w:p>
    <w:p>
      <w:pPr>
        <w:autoSpaceDN w:val="0"/>
        <w:autoSpaceDE w:val="0"/>
        <w:widowControl/>
        <w:spacing w:line="268" w:lineRule="exact" w:before="0" w:after="0"/>
        <w:ind w:left="1530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20"/>
        </w:rPr>
        <w:t xml:space="preserve">School Improvement, 24:2, 195-211, DOI: </w:t>
      </w:r>
      <w:r>
        <w:rPr>
          <w:rFonts w:ascii="ArialUnicodeMS" w:hAnsi="ArialUnicodeMS" w:eastAsia="ArialUnicodeMS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10.1080/09243453.2012.749794</w:t>
          </w:r>
        </w:hyperlink>
      </w:r>
    </w:p>
    <w:p>
      <w:pPr>
        <w:autoSpaceDN w:val="0"/>
        <w:autoSpaceDE w:val="0"/>
        <w:widowControl/>
        <w:spacing w:line="272" w:lineRule="exact" w:before="138" w:after="726"/>
        <w:ind w:left="1530" w:right="0" w:firstLine="0"/>
        <w:jc w:val="left"/>
      </w:pPr>
      <w:r>
        <w:rPr>
          <w:rFonts w:ascii="OpenSans" w:hAnsi="OpenSans" w:eastAsia="OpenSans"/>
          <w:b/>
          <w:i w:val="0"/>
          <w:color w:val="000000"/>
          <w:sz w:val="20"/>
        </w:rPr>
        <w:t xml:space="preserve">To link to this article: </w:t>
      </w:r>
      <w:r>
        <w:rPr>
          <w:rFonts w:ascii="OpenSans" w:hAnsi="OpenSans" w:eastAsia="OpenSans"/>
          <w:b w:val="0"/>
          <w:i w:val="0"/>
          <w:color w:val="000000"/>
          <w:sz w:val="20"/>
        </w:rPr>
        <w:t xml:space="preserve"> </w:t>
      </w:r>
      <w:r>
        <w:rPr>
          <w:rFonts w:ascii="OpenSans" w:hAnsi="OpenSans" w:eastAsia="OpenSans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https://doi.org/10.1080/09243453.2012.749794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90.0" w:type="dxa"/>
      </w:tblPr>
      <w:tblGrid>
        <w:gridCol w:w="5941"/>
        <w:gridCol w:w="5941"/>
      </w:tblGrid>
      <w:tr>
        <w:trPr>
          <w:trHeight w:hRule="exact" w:val="768"/>
        </w:trPr>
        <w:tc>
          <w:tcPr>
            <w:tcW w:type="dxa" w:w="578"/>
            <w:tcBorders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0820" cy="2247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2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14"/>
            <w:tcBorders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56" w:right="0" w:firstLine="0"/>
              <w:jc w:val="left"/>
            </w:pPr>
            <w:r>
              <w:rPr>
                <w:rFonts w:ascii="OpenSans" w:hAnsi="OpenSans" w:eastAsia="OpenSans"/>
                <w:b w:val="0"/>
                <w:i w:val="0"/>
                <w:color w:val="000000"/>
                <w:sz w:val="18"/>
              </w:rPr>
              <w:t>Published online: 20 Dec 2012.</w:t>
            </w:r>
          </w:p>
        </w:tc>
      </w:tr>
      <w:tr>
        <w:trPr>
          <w:trHeight w:hRule="exact" w:val="858"/>
        </w:trPr>
        <w:tc>
          <w:tcPr>
            <w:tcW w:type="dxa" w:w="578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3520" cy="1752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17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14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56" w:right="0" w:firstLine="0"/>
              <w:jc w:val="left"/>
            </w:pPr>
            <w:r>
              <w:rPr>
                <w:rFonts w:ascii="OpenSans" w:hAnsi="OpenSans" w:eastAsia="OpenSans"/>
                <w:b w:val="0"/>
                <w:i w:val="0"/>
                <w:color w:val="000000"/>
                <w:sz w:val="18"/>
              </w:rPr>
              <w:hyperlink r:id="rId16" w:history="1">
                <w:r>
                  <w:rPr>
                    <w:rStyle w:val="Hyperlink"/>
                  </w:rPr>
                  <w:t xml:space="preserve">Submit your article to this journal </w:t>
                </w:r>
              </w:hyperlink>
            </w:r>
            <w:r>
              <w:drawing>
                <wp:inline xmlns:a="http://schemas.openxmlformats.org/drawingml/2006/main" xmlns:pic="http://schemas.openxmlformats.org/drawingml/2006/picture">
                  <wp:extent cx="165100" cy="1117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1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58"/>
        </w:trPr>
        <w:tc>
          <w:tcPr>
            <w:tcW w:type="dxa" w:w="578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6540" cy="190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14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4" w:after="0"/>
              <w:ind w:left="56" w:right="0" w:firstLine="0"/>
              <w:jc w:val="left"/>
            </w:pPr>
            <w:r>
              <w:rPr>
                <w:rFonts w:ascii="OpenSans" w:hAnsi="OpenSans" w:eastAsia="OpenSans"/>
                <w:b w:val="0"/>
                <w:i w:val="0"/>
                <w:color w:val="000000"/>
                <w:sz w:val="18"/>
              </w:rPr>
              <w:t>Article views: 3070</w:t>
            </w:r>
          </w:p>
        </w:tc>
      </w:tr>
      <w:tr>
        <w:trPr>
          <w:trHeight w:hRule="exact" w:val="860"/>
        </w:trPr>
        <w:tc>
          <w:tcPr>
            <w:tcW w:type="dxa" w:w="578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0660" cy="2311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31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14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56" w:right="0" w:firstLine="0"/>
              <w:jc w:val="left"/>
            </w:pPr>
            <w:r>
              <w:rPr>
                <w:rFonts w:ascii="OpenSans" w:hAnsi="OpenSans" w:eastAsia="OpenSans"/>
                <w:b w:val="0"/>
                <w:i w:val="0"/>
                <w:color w:val="000000"/>
                <w:sz w:val="18"/>
              </w:rPr>
              <w:hyperlink r:id="rId20" w:history="1">
                <w:r>
                  <w:rPr>
                    <w:rStyle w:val="Hyperlink"/>
                  </w:rPr>
                  <w:t xml:space="preserve">View related articles </w:t>
                </w:r>
              </w:hyperlink>
            </w:r>
            <w:r>
              <w:drawing>
                <wp:inline xmlns:a="http://schemas.openxmlformats.org/drawingml/2006/main" xmlns:pic="http://schemas.openxmlformats.org/drawingml/2006/picture">
                  <wp:extent cx="165100" cy="1117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1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56"/>
        </w:trPr>
        <w:tc>
          <w:tcPr>
            <w:tcW w:type="dxa" w:w="578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3520" cy="2235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23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14"/>
            <w:tcBorders>
              <w:top w:sz="7.200016021728516" w:val="single" w:color="#000000"/>
              <w:bottom w:sz="7.2000160217285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56" w:right="0" w:firstLine="0"/>
              <w:jc w:val="left"/>
            </w:pPr>
            <w:r>
              <w:rPr>
                <w:rFonts w:ascii="OpenSans" w:hAnsi="OpenSans" w:eastAsia="OpenSans"/>
                <w:b w:val="0"/>
                <w:i w:val="0"/>
                <w:color w:val="000000"/>
                <w:sz w:val="18"/>
              </w:rPr>
              <w:hyperlink r:id="rId22" w:history="1">
                <w:r>
                  <w:rPr>
                    <w:rStyle w:val="Hyperlink"/>
                  </w:rPr>
                  <w:t xml:space="preserve">Citing articles: 22 View citing articles </w:t>
                </w:r>
              </w:hyperlink>
            </w:r>
            <w:r>
              <w:drawing>
                <wp:inline xmlns:a="http://schemas.openxmlformats.org/drawingml/2006/main" xmlns:pic="http://schemas.openxmlformats.org/drawingml/2006/picture">
                  <wp:extent cx="165100" cy="11176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1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4" w:lineRule="exact" w:before="2832" w:after="0"/>
        <w:ind w:left="0" w:right="0" w:firstLine="0"/>
        <w:jc w:val="center"/>
      </w:pPr>
      <w:r>
        <w:rPr>
          <w:rFonts w:ascii="OpenSans" w:hAnsi="OpenSans" w:eastAsia="OpenSans"/>
          <w:b w:val="0"/>
          <w:i w:val="0"/>
          <w:color w:val="000000"/>
          <w:sz w:val="18"/>
        </w:rPr>
        <w:t>Full Terms &amp; Conditions of access and use can be found at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OpenSans" w:hAnsi="OpenSans" w:eastAsia="OpenSans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>https://www.tandfonline.com/action/journalInformation?journalCode=nses20</w:t>
          </w:r>
        </w:hyperlink>
      </w:r>
    </w:p>
    <w:p>
      <w:pPr>
        <w:sectPr>
          <w:pgSz w:w="12686" w:h="16661"/>
          <w:pgMar w:top="188" w:right="392" w:bottom="424" w:left="412" w:header="720" w:footer="720" w:gutter="0"/>
          <w:cols w:space="720" w:num="1" w:equalWidth="0"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tabs>
          <w:tab w:pos="1130" w:val="left"/>
          <w:tab w:pos="609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dvOTf90d833a.I" w:hAnsi="AdvOTf90d833a.I" w:eastAsia="AdvOTf90d833a.I"/>
          <w:b w:val="0"/>
          <w:i w:val="0"/>
          <w:color w:val="000000"/>
          <w:sz w:val="18"/>
        </w:rPr>
        <w:t>School Effectiveness and School Improvement</w:t>
      </w:r>
      <w:r>
        <w:rPr>
          <w:rFonts w:ascii="AdvOT5843c571" w:hAnsi="AdvOT5843c571" w:eastAsia="AdvOT5843c571"/>
          <w:b w:val="0"/>
          <w:i w:val="0"/>
          <w:color w:val="000000"/>
          <w:sz w:val="18"/>
        </w:rPr>
        <w:t xml:space="preserve">, 2013 </w:t>
      </w:r>
      <w:r>
        <w:rPr>
          <w:rFonts w:ascii="AdvOT5843c571" w:hAnsi="AdvOT5843c571" w:eastAsia="AdvOT5843c571"/>
          <w:b w:val="0"/>
          <w:i w:val="0"/>
          <w:color w:val="000000"/>
          <w:sz w:val="18"/>
        </w:rPr>
        <w:t xml:space="preserve">Vol. 24, No. 2, </w:t>
      </w:r>
      <w:r>
        <w:rPr>
          <w:rFonts w:ascii="AdvOT5843c571" w:hAnsi="AdvOT5843c571" w:eastAsia="AdvOT5843c571"/>
          <w:b w:val="0"/>
          <w:i w:val="0"/>
          <w:color w:val="000000"/>
          <w:sz w:val="18"/>
        </w:rPr>
        <w:t>195 211, http://dx.doi.org/10.1080/09243453.2012.749794</w:t>
      </w:r>
      <w:r>
        <w:tab/>
      </w:r>
      <w:r>
        <w:drawing>
          <wp:inline xmlns:a="http://schemas.openxmlformats.org/drawingml/2006/main" xmlns:pic="http://schemas.openxmlformats.org/drawingml/2006/picture">
            <wp:extent cx="685800" cy="20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118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4"/>
        </w:rPr>
        <w:t xml:space="preserve">Preschool and primary school influences on the development of children’s </w:t>
      </w:r>
      <w:r>
        <w:rPr>
          <w:rFonts w:ascii="AdvTimes" w:hAnsi="AdvTimes" w:eastAsia="AdvTimes"/>
          <w:b w:val="0"/>
          <w:i w:val="0"/>
          <w:color w:val="221F1F"/>
          <w:sz w:val="24"/>
        </w:rPr>
        <w:t>early numeracy skills between the ages of 3 and 7 years in Germany</w:t>
      </w:r>
    </w:p>
    <w:p>
      <w:pPr>
        <w:autoSpaceDN w:val="0"/>
        <w:autoSpaceDE w:val="0"/>
        <w:widowControl/>
        <w:spacing w:line="234" w:lineRule="exact" w:before="13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Yvonne Anders</w:t>
      </w:r>
      <w:r>
        <w:rPr>
          <w:rFonts w:ascii="AdvTimes" w:hAnsi="AdvTimes" w:eastAsia="AdvTimes"/>
          <w:b w:val="0"/>
          <w:i w:val="0"/>
          <w:color w:val="221F1F"/>
          <w:sz w:val="14"/>
        </w:rPr>
        <w:t>a</w:t>
      </w:r>
      <w:r>
        <w:rPr>
          <w:rFonts w:ascii="AdvTimes" w:hAnsi="AdvTimes" w:eastAsia="AdvTimes"/>
          <w:b w:val="0"/>
          <w:i w:val="0"/>
          <w:color w:val="221F1F"/>
          <w:sz w:val="20"/>
        </w:rPr>
        <w:t>*, Christiane Grosse</w:t>
      </w:r>
      <w:r>
        <w:rPr>
          <w:rFonts w:ascii="AdvTimes" w:hAnsi="AdvTimes" w:eastAsia="AdvTimes"/>
          <w:b w:val="0"/>
          <w:i w:val="0"/>
          <w:color w:val="221F1F"/>
          <w:sz w:val="14"/>
        </w:rPr>
        <w:t>b</w:t>
      </w:r>
      <w:r>
        <w:rPr>
          <w:rFonts w:ascii="AdvTimes" w:hAnsi="AdvTimes" w:eastAsia="AdvTimes"/>
          <w:b w:val="0"/>
          <w:i w:val="0"/>
          <w:color w:val="221F1F"/>
          <w:sz w:val="20"/>
        </w:rPr>
        <w:t>, Hans-Gu¨ nther Rossbach</w:t>
      </w:r>
      <w:r>
        <w:rPr>
          <w:rFonts w:ascii="AdvTimes" w:hAnsi="AdvTimes" w:eastAsia="AdvTimes"/>
          <w:b w:val="0"/>
          <w:i w:val="0"/>
          <w:color w:val="221F1F"/>
          <w:sz w:val="14"/>
        </w:rPr>
        <w:t>b</w:t>
      </w:r>
      <w:r>
        <w:rPr>
          <w:rFonts w:ascii="AdvTimes" w:hAnsi="AdvTimes" w:eastAsia="AdvTimes"/>
          <w:b w:val="0"/>
          <w:i w:val="0"/>
          <w:color w:val="221F1F"/>
          <w:sz w:val="20"/>
        </w:rPr>
        <w:t>, Susanne Ebert</w:t>
      </w:r>
      <w:r>
        <w:rPr>
          <w:rFonts w:ascii="AdvTimes" w:hAnsi="AdvTimes" w:eastAsia="AdvTimes"/>
          <w:b w:val="0"/>
          <w:i w:val="0"/>
          <w:color w:val="221F1F"/>
          <w:sz w:val="14"/>
        </w:rPr>
        <w:t xml:space="preserve">b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and Sabine Weinert</w:t>
      </w:r>
      <w:r>
        <w:rPr>
          <w:rFonts w:ascii="AdvTimes" w:hAnsi="AdvTimes" w:eastAsia="AdvTimes"/>
          <w:b w:val="0"/>
          <w:i w:val="0"/>
          <w:color w:val="221F1F"/>
          <w:sz w:val="14"/>
        </w:rPr>
        <w:t>b</w:t>
      </w:r>
    </w:p>
    <w:p>
      <w:pPr>
        <w:autoSpaceDN w:val="0"/>
        <w:autoSpaceDE w:val="0"/>
        <w:widowControl/>
        <w:spacing w:line="218" w:lineRule="exact" w:before="226" w:after="0"/>
        <w:ind w:left="0" w:right="0" w:firstLine="0"/>
        <w:jc w:val="left"/>
      </w:pPr>
      <w:r>
        <w:rPr>
          <w:w w:val="97.53359281099759"/>
          <w:rFonts w:ascii="AdvTimes" w:hAnsi="AdvTimes" w:eastAsia="AdvTimes"/>
          <w:b w:val="0"/>
          <w:i w:val="0"/>
          <w:color w:val="221F1F"/>
          <w:sz w:val="13"/>
        </w:rPr>
        <w:t>a</w:t>
      </w:r>
      <w:r>
        <w:rPr>
          <w:rFonts w:ascii="AdvTimes" w:hAnsi="AdvTimes" w:eastAsia="AdvTimes"/>
          <w:b w:val="0"/>
          <w:i w:val="0"/>
          <w:color w:val="221F1F"/>
          <w:sz w:val="18"/>
        </w:rPr>
        <w:t>Free University of Berlin, Berlin, Germany;</w:t>
      </w:r>
      <w:r>
        <w:rPr>
          <w:w w:val="97.53359281099759"/>
          <w:rFonts w:ascii="AdvTimes" w:hAnsi="AdvTimes" w:eastAsia="AdvTimes"/>
          <w:b w:val="0"/>
          <w:i w:val="0"/>
          <w:color w:val="221F1F"/>
          <w:sz w:val="13"/>
        </w:rPr>
        <w:t xml:space="preserve"> b</w:t>
      </w:r>
      <w:r>
        <w:rPr>
          <w:rFonts w:ascii="AdvTimes" w:hAnsi="AdvTimes" w:eastAsia="AdvTimes"/>
          <w:b w:val="0"/>
          <w:i w:val="0"/>
          <w:color w:val="221F1F"/>
          <w:sz w:val="18"/>
        </w:rPr>
        <w:t>University of Bamberg, Bamberg, Germany</w:t>
      </w:r>
    </w:p>
    <w:p>
      <w:pPr>
        <w:autoSpaceDN w:val="0"/>
        <w:autoSpaceDE w:val="0"/>
        <w:widowControl/>
        <w:spacing w:line="200" w:lineRule="exact" w:before="558" w:after="0"/>
        <w:ind w:left="478" w:right="50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Few studies have investigated how preschool and primary school interact to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influence children’s cognitive development. The present investigation explores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German children’s numeracy skills between age 3 (1st year of preschool) and age 7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(1st year of primary school). We first identified the influence of preschool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experience on development while controlling for child factors, family back-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ground, and the quality of the home learning environment (HLE). We then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considered how the instructional quality of primary schools influences numeracy.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We finally analysed how preschool and primary school interact. We sampled 547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children who attended 97 German preschools. Latent growth curve analyses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identified child and family factors related to age 3 numeracy and development to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age 7: gender, migration background, socioeconomic status (SES), mother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education, HLE. The effects of preschool on numeracy development persist until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age 7 with notable effects from process quality. Strengthened efforts are needed to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ensure high quality preschool education in Germany.</w:t>
      </w:r>
    </w:p>
    <w:p>
      <w:pPr>
        <w:autoSpaceDN w:val="0"/>
        <w:autoSpaceDE w:val="0"/>
        <w:widowControl/>
        <w:spacing w:line="200" w:lineRule="exact" w:before="120" w:after="0"/>
        <w:ind w:left="478" w:right="432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Keywords: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preschool quality; cognitive development; primary school quality;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numeracy; longitudinal studies</w:t>
      </w:r>
    </w:p>
    <w:p>
      <w:pPr>
        <w:autoSpaceDN w:val="0"/>
        <w:autoSpaceDE w:val="0"/>
        <w:widowControl/>
        <w:spacing w:line="200" w:lineRule="exact" w:before="53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Background and objectives</w:t>
      </w:r>
    </w:p>
    <w:p>
      <w:pPr>
        <w:autoSpaceDN w:val="0"/>
        <w:autoSpaceDE w:val="0"/>
        <w:widowControl/>
        <w:spacing w:line="240" w:lineRule="exact" w:before="60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Large longitudinal studies have produced growing evidence of the potential benefits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preschool education for the cognitive development of children (see Gorey, 2001,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for an overview). Whereas the evidence of short- and medium-term academic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benefits of early education or preschool programs is compelling, findings on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persistence of beneficial preschool effects are mixed. It seems that the quality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setting attended is a crucial factor for the magnitude and the persistence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beneficial effects (e.g., Peisner-Feinberg et al., 2001; Sammons et al., 2008). Preschool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covers multiple dimensions and relates to structural characteristics (e.g., class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size, staff qualifications levels) as well as the professional beliefs and orientations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teachers with respect to learning processes and the process quality of the interactions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between teachers and children. Process quality refers to global characteristics such as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warm climate (Harms, Clifford, &amp; Cryer, 1998) as well as domain-specific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stimulation in educational areas (Kuger &amp; Kluczniok, 2008; Sylva, Siraj-Blatchford,</w:t>
      </w:r>
    </w:p>
    <w:p>
      <w:pPr>
        <w:autoSpaceDN w:val="0"/>
        <w:autoSpaceDE w:val="0"/>
        <w:widowControl/>
        <w:spacing w:line="180" w:lineRule="exact" w:before="53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*Corresponding author. Email: yvonne.anders@fu-berlin.de</w:t>
      </w:r>
    </w:p>
    <w:p>
      <w:pPr>
        <w:autoSpaceDN w:val="0"/>
        <w:autoSpaceDE w:val="0"/>
        <w:widowControl/>
        <w:spacing w:line="152" w:lineRule="exact" w:before="792" w:after="0"/>
        <w:ind w:left="0" w:right="0" w:firstLine="0"/>
        <w:jc w:val="left"/>
      </w:pPr>
      <w:r>
        <w:rPr>
          <w:rFonts w:ascii="AdvOT5843c571" w:hAnsi="AdvOT5843c571" w:eastAsia="AdvOT5843c571"/>
          <w:b w:val="0"/>
          <w:i w:val="0"/>
          <w:color w:val="000000"/>
          <w:sz w:val="14"/>
        </w:rPr>
        <w:t>© 2013 Taylor &amp; Francis</w:t>
      </w:r>
    </w:p>
    <w:p>
      <w:pPr>
        <w:sectPr>
          <w:pgSz w:w="9865" w:h="14060"/>
          <w:pgMar w:top="390" w:right="1324" w:bottom="320" w:left="1346" w:header="720" w:footer="720" w:gutter="0"/>
          <w:cols w:space="720" w:num="1" w:equalWidth="0"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196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autoSpaceDE w:val="0"/>
        <w:widowControl/>
        <w:spacing w:line="240" w:lineRule="exact" w:before="238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&amp; Taggart, 2003). When children grow older, the learning experiences in primary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school will further influence children’s academic progress. Comparable to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construct of preschool quality, current frameworks of primary school quality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differentiate between structural characteristics, teacher beliefs, and the quality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pedagogical processes (see European Child Care and Education [ECCE]-Study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Group, 1999, for an empirical application). Theories of instructional quality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school classrooms underline the impact of three dimensions of instructional quality: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classroom management, supportive climate, and cognitive activation (e.g., Baumert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et al., 2010; Klieme, Pauli, &amp; Reusser, 2009). Some studies have shown that high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instructional quality may have positive effects on children’s cognitive development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(e.g., Pianta, Belsky, Vandergrift, Houts, &amp; Morrison, 2008; Rossbach, 2002). As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most children attend preschool as well as primary school, it is of special interest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understand how these educational settings interact. It is possible that a high-quality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experience gives children a better start to primary school and that these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early benefits are maintained over years. Furthermore, a high-quality preschool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experience might not only give children a better start to school but also prepare them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a way that they show better progress as they move through primary school. On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other hand, beneficial preschool effects might also vanish very quickly; and once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attend primary school, the instructional quality and effectiveness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 might compensate for any preschool effects. Empirical evidence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interactive effects of both educational settings is rare. At this time, it is not possible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draw a final conclusion (e.g., Magnuson, Ruhm, &amp; Waldfogel, 2007; National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Institute of Child Health &amp; Human Development of Early Child Care Research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Network [NICHD ECCRN], 2006; Sammons et al., 2008; Tietze, Rossbach, &amp;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Grenner, 2005).</w:t>
      </w:r>
    </w:p>
    <w:p>
      <w:pPr>
        <w:autoSpaceDN w:val="0"/>
        <w:autoSpaceDE w:val="0"/>
        <w:widowControl/>
        <w:spacing w:line="240" w:lineRule="exact" w:before="0" w:after="0"/>
        <w:ind w:left="18" w:right="20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Certainly, schooling factors are not the only factors with potential influence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children’s development and educational careers. It is well known that a number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child characteristics and family factors (e.g., parental education levels, socio-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economic status) may have a significant impact (e.g., Cox, 2000; NICHD ECCRN,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2002; Pianta &amp; Hamre, 2009). Already when children enter primary school, their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cognitive skills vary markedly according to their gender, ethnicity, or the social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background of the family (e.g., Dubowy, Ebert, von Maurice, &amp; Weinert, 2008;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Strand, 1995, 1997, 1999; Tymms, Merrell, &amp; Henderson, 1997). Additionally,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of the home learning environment (HLE) may influence children’s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development (e.g., Hart &amp; Risley, 1995; Melhuish et al., 2008; Snow &amp; Van Hemel,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2008). It is related to the availability of educational resources such as books or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educational games and the nature of parenting activities (e.g., reading to a child,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playing with numbers, taking the child to a library). Thus, when investigating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potential effects of preschool and primary school education, potential effects of child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factors, family factors, and the quality of the HLE need to be also considered.</w:t>
      </w:r>
    </w:p>
    <w:p>
      <w:pPr>
        <w:autoSpaceDN w:val="0"/>
        <w:autoSpaceDE w:val="0"/>
        <w:widowControl/>
        <w:spacing w:line="200" w:lineRule="exact" w:before="458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The longitudinal project BiKS in Germany</w:t>
      </w:r>
    </w:p>
    <w:p>
      <w:pPr>
        <w:autoSpaceDN w:val="0"/>
        <w:autoSpaceDE w:val="0"/>
        <w:widowControl/>
        <w:spacing w:line="238" w:lineRule="exact" w:before="62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Empirical evidence on effects of preschool education is rare in Germany.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longitudinal project BiKS (Bildungsprozesse, Kompetenzentwicklung und Selek-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tionsentscheidungen im Vor- und Grundschulalter [Educational processes, compe-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tence development, and selection decisions at pre- and primary school age]) was set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up to shed light on how learning environments at home, at preschool, and at primary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school differentially influence children’s development (Schmidt, Smidt, &amp; Schmitt,</w:t>
      </w:r>
    </w:p>
    <w:p>
      <w:pPr>
        <w:sectPr>
          <w:pgSz w:w="9865" w:h="14060"/>
          <w:pgMar w:top="398" w:right="1326" w:bottom="552" w:left="1328" w:header="720" w:footer="720" w:gutter="0"/>
          <w:cols w:space="720" w:num="1" w:equalWidth="0"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197</w:t>
      </w:r>
    </w:p>
    <w:p>
      <w:pPr>
        <w:autoSpaceDN w:val="0"/>
        <w:autoSpaceDE w:val="0"/>
        <w:widowControl/>
        <w:spacing w:line="238" w:lineRule="exact" w:before="240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2009; von Maurice et al., 2007). The substudy BiKS 3–10 follows the acquisition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competencies of 547 children in Germany who attended 97 preschool settings in two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federal states (Bavaria and Hesse) since 2005.</w:t>
      </w:r>
    </w:p>
    <w:p>
      <w:pPr>
        <w:autoSpaceDN w:val="0"/>
        <w:autoSpaceDE w:val="0"/>
        <w:widowControl/>
        <w:spacing w:line="240" w:lineRule="exact" w:before="0" w:after="20"/>
        <w:ind w:left="0" w:right="22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Based on the BiKS dataset, we recently examined the development of early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numeracy skills and growth in this cognitive domain between the ages of 3 and 5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years while children move through preschool (Anders et al., 2012). With respect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impact of child and family background factors, the findings revealed that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gender, parental native language status, parental education, and socioeconomic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status (SES) are related to initial achievement levels as well as to further growth.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Further, a strong effect of the quality of the learning environment at home (HLE)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rPr>
          <w:trHeight w:hRule="exact" w:val="238"/>
        </w:trPr>
        <w:tc>
          <w:tcPr>
            <w:tcW w:type="dxa" w:w="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on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initial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numeracy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skills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could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established.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number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structural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characteristics of the preschool setting (e.g., spatial size of the setting, average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age of the class) are also associated with initial achievement. But when we look 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developmental progress, the process quality of the preschool settings in terms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fostering academic skills as measured by Early Childhood Rating Scale Extensions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(ECERS-E; Sylva et al., 2003) makes the difference. Stated precisely, it is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of stimulation in mathematics that has the strongest impact on growth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between the ages of 3 and 5 years.</w:t>
      </w:r>
    </w:p>
    <w:p>
      <w:pPr>
        <w:autoSpaceDN w:val="0"/>
        <w:autoSpaceDE w:val="0"/>
        <w:widowControl/>
        <w:spacing w:line="200" w:lineRule="exact" w:before="45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The present study</w:t>
      </w:r>
    </w:p>
    <w:p>
      <w:pPr>
        <w:autoSpaceDN w:val="0"/>
        <w:autoSpaceDE w:val="0"/>
        <w:widowControl/>
        <w:spacing w:line="240" w:lineRule="exact" w:before="5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the current study, we explore the development of early numeracy skills of children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between the ages of 3 and 7 years in Germany.</w:t>
      </w:r>
      <w:r>
        <w:rPr>
          <w:rFonts w:ascii="AdvTimes" w:hAnsi="AdvTimes" w:eastAsia="AdvTimes"/>
          <w:b w:val="0"/>
          <w:i w:val="0"/>
          <w:color w:val="221F1F"/>
          <w:sz w:val="14"/>
        </w:rPr>
        <w:t>1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This age range covers 3 years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and the 1st year of primary school. We focus on schooling effects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investigate how preschool and primary school influences interact in shaping young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children’s acquisition of numeracy. In particular, this study addresses three research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questions. First, it seeks to identify the influence of preschool experience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developmental progress between age 3 and age 7 while controlling for relevant child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factors, family background, and the early years HLE. We are especially interested if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beneficial effects of different indicators of process quality of preschool settings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persist until the end of the 1st year of primary school. Second, we investigate how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instructional quality of the primary school further influences the development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numeracy skills when children have moved from preschool to primary school. Third,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we analyse how preschool and primary school influences interact.</w:t>
      </w:r>
    </w:p>
    <w:p>
      <w:pPr>
        <w:autoSpaceDN w:val="0"/>
        <w:autoSpaceDE w:val="0"/>
        <w:widowControl/>
        <w:spacing w:line="200" w:lineRule="exact" w:before="39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Method</w:t>
      </w:r>
    </w:p>
    <w:p>
      <w:pPr>
        <w:autoSpaceDN w:val="0"/>
        <w:autoSpaceDE w:val="0"/>
        <w:widowControl/>
        <w:spacing w:line="198" w:lineRule="exact" w:before="10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Procedure and sample</w:t>
      </w:r>
    </w:p>
    <w:p>
      <w:pPr>
        <w:autoSpaceDN w:val="0"/>
        <w:autoSpaceDE w:val="0"/>
        <w:widowControl/>
        <w:spacing w:line="238" w:lineRule="exact" w:before="62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present investigation analyses the development of early numeracy skills over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four measurement points (average age 3, 4, 5, and 7 years). The first three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measurement points took place while children were in preschool, the last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measurement point took place during the last 6 weeks of the 1st year of primary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school. The average number of children assessed per preschool class was 5.5.</w:t>
      </w:r>
      <w:r>
        <w:rPr>
          <w:rFonts w:ascii="AdvTimes" w:hAnsi="AdvTimes" w:eastAsia="AdvTimes"/>
          <w:b w:val="0"/>
          <w:i w:val="0"/>
          <w:color w:val="221F1F"/>
          <w:sz w:val="14"/>
        </w:rPr>
        <w:t>2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Most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the 547 BiKS children moved from preschool to primary school in September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2008. At this time, the sample includes 435 children; 142 primary school classes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participate in the study (Schmidt et al., 2009). Looking at the background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in the initial sample, we find that 19.6% of the children have one or two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parents with a mother tongue other than German. With respect to mother’s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education, we find 34.0% with a qualification for university entrance.</w:t>
      </w:r>
    </w:p>
    <w:p>
      <w:pPr>
        <w:sectPr>
          <w:pgSz w:w="9865" w:h="14060"/>
          <w:pgMar w:top="398" w:right="1322" w:bottom="552" w:left="1346" w:header="720" w:footer="720" w:gutter="0"/>
          <w:cols w:space="720" w:num="1" w:equalWidth="0"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198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autoSpaceDE w:val="0"/>
        <w:widowControl/>
        <w:spacing w:line="238" w:lineRule="exact" w:before="240" w:after="0"/>
        <w:ind w:left="18" w:right="22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Parents gave information about their family structure, occupational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educational background, as well as parent–child activities and routines in interviews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questionnaires. Further information was obtained through observations 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home, which were also conducted annually. Structural characteristics and measures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the process quality in the preschool settings were obtained through interviews with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heads of the preschools, staff questionnaires, and observations. Staff interviews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were carried out twice a year, observations in the settings were repeated annually.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Since spring 2009, different aspects of general and subject-specific aspects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instructional quality at the primary schools were obtained by observations.</w:t>
      </w:r>
    </w:p>
    <w:p>
      <w:pPr>
        <w:autoSpaceDN w:val="0"/>
        <w:autoSpaceDE w:val="0"/>
        <w:widowControl/>
        <w:spacing w:line="198" w:lineRule="exact" w:before="638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Measures</w:t>
      </w:r>
    </w:p>
    <w:p>
      <w:pPr>
        <w:autoSpaceDN w:val="0"/>
        <w:autoSpaceDE w:val="0"/>
        <w:widowControl/>
        <w:spacing w:line="198" w:lineRule="exact" w:before="102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Outcome measure</w:t>
      </w:r>
    </w:p>
    <w:p>
      <w:pPr>
        <w:autoSpaceDN w:val="0"/>
        <w:autoSpaceDE w:val="0"/>
        <w:widowControl/>
        <w:spacing w:line="240" w:lineRule="exact" w:before="58" w:after="0"/>
        <w:ind w:left="18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Early numeracy skills over the investigated period were assessed by the subscale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‘‘arithmetics’’ of the German version of the Kaufman Assessment Battery for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(K-ABC, Melchers &amp; Preuss, 2003). This scale measures children’s skills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counting, identifying numbers, knowledge of shapes, and understanding of early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mathematical concepts. It is internationally well known and established. In contrast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to other instruments, it can be applied over a wide age range.</w:t>
      </w:r>
    </w:p>
    <w:p>
      <w:pPr>
        <w:autoSpaceDN w:val="0"/>
        <w:autoSpaceDE w:val="0"/>
        <w:widowControl/>
        <w:spacing w:line="240" w:lineRule="exact" w:before="0" w:after="0"/>
        <w:ind w:left="18" w:right="20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test is organized into sets of three to five items of increasing difficulty.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score one point for each item answered correctly. Testing is stopped when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 answers all items in a subset incorrectly. Thus, potential practice effects are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reduced when applying the test. The test items are embedded in a story about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family visiting a zoo, which is presented verbally with accompanying pictures. In Sets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1 and 2, the child has to count objects, identify numerals up to 10, and identify two-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dimensional shapes. In Sets 3 and 4, the child has to solve various numerical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problems in the number range up to 10: comparing quantities of pictured objects,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understanding numbers as symbols, and solving verbally presented subtraction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problems supported by pictures. In Sets 4 and 5, the child has to read numbers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greater than 10, solve verbally presented arithmetic problems that cross the ‘‘10’’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boundary, and do simple multiplication and division tasks. From Set 6, children’s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skills in dealing with numbers higher than 100 and with scale units are assessed, as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well as their ability to solve more complex multiplication and division tasks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embedded in the story. We used raw scores so that change over time could be better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documented.</w:t>
      </w:r>
    </w:p>
    <w:p>
      <w:pPr>
        <w:autoSpaceDN w:val="0"/>
        <w:autoSpaceDE w:val="0"/>
        <w:widowControl/>
        <w:spacing w:line="198" w:lineRule="exact" w:before="458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Predictors</w:t>
      </w:r>
    </w:p>
    <w:p>
      <w:pPr>
        <w:autoSpaceDN w:val="0"/>
        <w:autoSpaceDE w:val="0"/>
        <w:widowControl/>
        <w:spacing w:line="240" w:lineRule="exact" w:before="60" w:after="0"/>
        <w:ind w:left="18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Child and family background factors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. Gender, age in months, parental native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language status (German/other), highest socioeconomic status of the family,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maternal education, and age at entry to the preschool setting were used as child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family background control variables. As measure of the socioeconomic status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family, the International Socio-economic Index of Occupational Status (ISEI,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Ganzeboom, De Graaf, &amp; Treiman, 1992) was derived.</w:t>
      </w:r>
    </w:p>
    <w:p>
      <w:pPr>
        <w:autoSpaceDN w:val="0"/>
        <w:autoSpaceDE w:val="0"/>
        <w:widowControl/>
        <w:spacing w:line="240" w:lineRule="exact" w:before="238" w:after="0"/>
        <w:ind w:left="18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Early years home learning environment (HLE)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. The assessment of characteristics that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provide an indication of the early years HLE in promoting (pre)reading literacy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numeracy skills is based on (a) self-constructed questionnaires and interviews, (b) the</w:t>
      </w:r>
    </w:p>
    <w:p>
      <w:pPr>
        <w:sectPr>
          <w:pgSz w:w="9865" w:h="14060"/>
          <w:pgMar w:top="398" w:right="1324" w:bottom="552" w:left="1328" w:header="720" w:footer="720" w:gutter="0"/>
          <w:cols w:space="720" w:num="1" w:equalWidth="0"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199</w:t>
      </w:r>
    </w:p>
    <w:p>
      <w:pPr>
        <w:autoSpaceDN w:val="0"/>
        <w:autoSpaceDE w:val="0"/>
        <w:widowControl/>
        <w:spacing w:line="240" w:lineRule="exact" w:before="23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adapted version of the Home Observation for Measurement of the Environment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(HOME; Caldwell &amp; Bradley, 1984), and (c) a semi-standardized book reading task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between parent and child called the Family Rating Scale (Kuger, Pflieger, &amp;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Rossbach, 2005). One scale measure to assess the quality of the early years HLE was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developed considering information from all three data sources. The scale contains 20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items which refer to activities as well as to material. Example items are stimulation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learn the alphabet, frequency of shared book reading, counting activities,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stimulation to learn spatial relationships. The internal consistency (Cronbach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´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alpha) at the three measurements is 0.74, 0.77, and 0.77, respectively. For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following analyses, the scale was standardized to a range of 0 to 1, and one indicator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representing overall quality was derived by taking the means of the composite over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the three measurements.</w:t>
      </w:r>
    </w:p>
    <w:p>
      <w:pPr>
        <w:autoSpaceDN w:val="0"/>
        <w:autoSpaceDE w:val="0"/>
        <w:widowControl/>
        <w:spacing w:line="198" w:lineRule="exact" w:before="45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Preschool measures</w:t>
      </w:r>
    </w:p>
    <w:p>
      <w:pPr>
        <w:autoSpaceDN w:val="0"/>
        <w:autoSpaceDE w:val="0"/>
        <w:widowControl/>
        <w:spacing w:line="240" w:lineRule="exact" w:before="60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Structural (quality) factors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. Structural (quality) factors included the proportion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with a parental native language different from German in the class, class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size, child–staff ratio, m</w:t>
      </w:r>
      <w:r>
        <w:rPr>
          <w:rFonts w:ascii="AdvTimes" w:hAnsi="AdvTimes" w:eastAsia="AdvTimes"/>
          <w:b w:val="0"/>
          <w:i w:val="0"/>
          <w:color w:val="221F1F"/>
          <w:sz w:val="14"/>
        </w:rPr>
        <w:t>2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per child, and the average age of children in the class.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federal state was treated as a control.</w:t>
      </w:r>
    </w:p>
    <w:p>
      <w:pPr>
        <w:autoSpaceDN w:val="0"/>
        <w:autoSpaceDE w:val="0"/>
        <w:widowControl/>
        <w:spacing w:line="240" w:lineRule="exact" w:before="236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Process quality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. The quality of preschool measure is based on observations of each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setting using environment ratings (German versions of ECERS-R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ECERS-E). This study focused on ECERS-E (Sylva et al., 2003), which is a measure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process quality considering four educational aspects: the quality of learning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environments for verbal, mathematics, and science literacy and taking care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diversity and individual learning needs. The overall score of ECERS-E as well as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subscale ‘‘mathematics’’ were used in the present analyses. These were the indicators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which had shown to have an effect on the development of numeracy skills between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age 3 and age 5 (Anders et al., 2012). Although some preschool characteristics are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naturally subject to change (e.g., class composition), the correlations between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assessments are moderate. For all preschool measures, average scores of the annual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assessments were used in the following analyses to keep the complexity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following statistical models at a reasonable level.</w:t>
      </w:r>
    </w:p>
    <w:p>
      <w:pPr>
        <w:autoSpaceDN w:val="0"/>
        <w:autoSpaceDE w:val="0"/>
        <w:widowControl/>
        <w:spacing w:line="200" w:lineRule="exact" w:before="45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Primary school measures</w:t>
      </w:r>
    </w:p>
    <w:p>
      <w:pPr>
        <w:autoSpaceDN w:val="0"/>
        <w:autoSpaceDE w:val="0"/>
        <w:widowControl/>
        <w:spacing w:line="264" w:lineRule="exact" w:before="34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Instructional quality in mathematics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. The measurement of quality of instruction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mathematics is based on classroom observations assuming three dimensions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instructional quality (Klieme et al., 2009): supportive climate, classroom manage-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ment, and cognitive activation. In this study, we focus on cognitive activation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mathematics lessons. It was covered by five items (Steinweg, 2009). Example items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are: ‘‘positive culture of handling mistakes’’ and ‘‘transparency of lesson’s goal’’.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items were aggregated to a scale measure (Cronbach’s alpha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.82).</w:t>
      </w:r>
    </w:p>
    <w:p>
      <w:pPr>
        <w:autoSpaceDN w:val="0"/>
        <w:autoSpaceDE w:val="0"/>
        <w:widowControl/>
        <w:spacing w:line="200" w:lineRule="exact" w:before="31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Statistical analyses</w:t>
      </w:r>
    </w:p>
    <w:p>
      <w:pPr>
        <w:autoSpaceDN w:val="0"/>
        <w:autoSpaceDE w:val="0"/>
        <w:widowControl/>
        <w:spacing w:line="240" w:lineRule="exact" w:before="5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examine the influences on the development of numeracy skills over time, two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strings of analyses were conducted. In the first string, we analysed the development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of numeracy skills between age 3 and age 7. The main focus of the first set of analyses</w:t>
      </w:r>
    </w:p>
    <w:p>
      <w:pPr>
        <w:sectPr>
          <w:pgSz w:w="9865" w:h="14060"/>
          <w:pgMar w:top="398" w:right="1322" w:bottom="552" w:left="1346" w:header="720" w:footer="720" w:gutter="0"/>
          <w:cols w:space="720" w:num="1" w:equalWidth="0"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autoSpaceDE w:val="0"/>
        <w:widowControl/>
        <w:spacing w:line="250" w:lineRule="exact" w:before="228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was to investigate if effects of preschool experience continue until age 7. Latent linear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growth curve (LLGC) models were fitted to the data with four repeated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measurements (numeracy skills at first, second, third, and fourth assessment).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stepwise procedure was carried out. First, a null model with an intercept and a linear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slope was specified, only considering age at assessment as time-varying predictor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numeracy skills and growth. Then child, individual background factors, and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of the HLE were tested as potential influencing factors for initial attainment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growth (LLGC – Model 1). Model 1 served as the control model. In a third step,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structural (quality) characteristics of the preschools were additionally included in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models (LLGC – Model 2). Fourth, indicators of preschool quality were tested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individually while controlling for the other variables (LLGC – Model 3a, Model 3b).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Finally, we tested whether effects of preschool quality remain stable when including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of instruction at primary school in the models (LLGC – Model 4a, Model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4b). Model fit was evaluated by root mean square error approximation (RMSEA)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comparative fit index (CFI) (see Hu &amp; Bentler, 1999). The data have a nested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structure, with children being nested in preschool classes (age 3 to age 5) or primary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school classes (age 7), respectively. Although the numbers of children per preschool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or primary school class were low, ignoring the clustering may lead to unreliable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standard errors. We used standard errors adjusted for the multilevel structure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data. As the preschool classes are the main source of clustering between age 3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age 7, we decided to take account of the clustering by preschool classes.</w:t>
      </w:r>
      <w:r>
        <w:rPr>
          <w:rFonts w:ascii="AdvTimes" w:hAnsi="AdvTimes" w:eastAsia="AdvTimes"/>
          <w:b w:val="0"/>
          <w:i w:val="0"/>
          <w:color w:val="221F1F"/>
          <w:sz w:val="14"/>
        </w:rPr>
        <w:t>3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sample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size for the first string of analyses was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n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532 children with at least one valid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outcome measure and predictor. The strategy of analyses for this string of analyses is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illustrated in Figure 1.</w:t>
      </w:r>
    </w:p>
    <w:p>
      <w:pPr>
        <w:autoSpaceDN w:val="0"/>
        <w:autoSpaceDE w:val="0"/>
        <w:widowControl/>
        <w:spacing w:line="240" w:lineRule="exact" w:before="0" w:after="0"/>
        <w:ind w:left="18" w:right="20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 second string of analyses was conducted to explore the influence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instructional quality in mathematics at the primary school attended in more detail.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this string, we focused on the development between age 5 (last year of preschool)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age 7 (first year of primary school) using multivariate value-added regression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analyses. The outcome was achievement in numeracy at age 7. First, influences of</w:t>
      </w:r>
    </w:p>
    <w:p>
      <w:pPr>
        <w:autoSpaceDN w:val="0"/>
        <w:autoSpaceDE w:val="0"/>
        <w:widowControl/>
        <w:spacing w:line="240" w:lineRule="auto" w:before="3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07230" cy="25336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533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98" w:val="left"/>
        </w:tabs>
        <w:autoSpaceDE w:val="0"/>
        <w:widowControl/>
        <w:spacing w:line="178" w:lineRule="exact" w:before="22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Figure 1.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Latent linear growth curve models: stepwise procedure.</w:t>
      </w:r>
    </w:p>
    <w:p>
      <w:pPr>
        <w:sectPr>
          <w:pgSz w:w="9865" w:h="14060"/>
          <w:pgMar w:top="398" w:right="1326" w:bottom="558" w:left="1328" w:header="720" w:footer="720" w:gutter="0"/>
          <w:cols w:space="720" w:num="1" w:equalWidth="0"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201</w:t>
      </w:r>
    </w:p>
    <w:p>
      <w:pPr>
        <w:autoSpaceDN w:val="0"/>
        <w:autoSpaceDE w:val="0"/>
        <w:widowControl/>
        <w:spacing w:line="260" w:lineRule="exact" w:before="21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quality on achievement were investigated controlling for attainment at age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5 and all other child, background, home learning, and preschool characteristics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(Regression model 1a: including ECERS-mathematics, Regression model 1b: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including ECERS-E). Second, instructional quality of the primary school was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added, controlling for all predictors included in Model 1 (Regression model 2a: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including ECERS-mathematics, Regression model 2b: including ECERS-E). In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next step, interaction terms (process quality of preschool x instructional quality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school) were specified and included in the model. As the primary 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classes were the main source of clustering for the outcome in this string of analyses,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standard errors accounting for the clustering by primary school classes were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estimated. The sample size for the second string of analyses was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n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396 children with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at least one valid outcome measure and predictor. The strategy for this string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analyses is illustrated in Figure 2.</w:t>
      </w:r>
    </w:p>
    <w:p>
      <w:pPr>
        <w:autoSpaceDN w:val="0"/>
        <w:autoSpaceDE w:val="0"/>
        <w:widowControl/>
        <w:spacing w:line="238" w:lineRule="exact" w:before="2" w:after="0"/>
        <w:ind w:left="0" w:right="24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All analyses were carried out using MPlus version 5.2 (Muthe´ n &amp; Muthe´ n, 2008).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deal with missing data, we chose the full information maximum likelihood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(FIML) approach (e.g., Arbuckle, 1996) that is implemented in MPlus and uses valid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information of all observations for model estimation. To account for possible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selection bias (e.g., NICHD ECCRN &amp; Duncan, 2003), we included child and family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background indicators which might be correlated with the outcome as well as with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indicators of the quality of learning environments. All continuous variables were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z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standardized before included in the multivariate analyses or before building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interaction terms.</w:t>
      </w:r>
    </w:p>
    <w:p>
      <w:pPr>
        <w:autoSpaceDN w:val="0"/>
        <w:autoSpaceDE w:val="0"/>
        <w:widowControl/>
        <w:spacing w:line="200" w:lineRule="exact" w:before="39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Results</w:t>
      </w:r>
    </w:p>
    <w:p>
      <w:pPr>
        <w:autoSpaceDN w:val="0"/>
        <w:autoSpaceDE w:val="0"/>
        <w:widowControl/>
        <w:spacing w:line="198" w:lineRule="exact" w:before="10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Descriptives</w:t>
      </w:r>
    </w:p>
    <w:p>
      <w:pPr>
        <w:autoSpaceDN w:val="0"/>
        <w:tabs>
          <w:tab w:pos="298" w:val="left"/>
        </w:tabs>
        <w:autoSpaceDE w:val="0"/>
        <w:widowControl/>
        <w:spacing w:line="238" w:lineRule="exact" w:before="6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Table 1 shows descriptive statistics for the outcome and predictors. The descriptives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shown for the quality of the HLE and preschool characteristics represent mean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scores of all available assessments while the children moved through preschool.</w:t>
      </w:r>
      <w:r>
        <w:rPr>
          <w:rFonts w:ascii="AdvTimes" w:hAnsi="AdvTimes" w:eastAsia="AdvTimes"/>
          <w:b w:val="0"/>
          <w:i w:val="0"/>
          <w:color w:val="221F1F"/>
          <w:sz w:val="14"/>
        </w:rPr>
        <w:t xml:space="preserve">4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results illustrate the average growth of achievement in arithmetic over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duration of the study. There were no indications of any floor or ceiling effects over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investigated period. Looking at the quality of the HLE, we observe substantial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variance between families. With regard to the preschool characteristics, the observed</w:t>
      </w:r>
    </w:p>
    <w:p>
      <w:pPr>
        <w:autoSpaceDN w:val="0"/>
        <w:autoSpaceDE w:val="0"/>
        <w:widowControl/>
        <w:spacing w:line="240" w:lineRule="auto" w:before="6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608070" cy="17932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793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80" w:val="left"/>
        </w:tabs>
        <w:autoSpaceDE w:val="0"/>
        <w:widowControl/>
        <w:spacing w:line="180" w:lineRule="exact" w:before="21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Figure 2.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Multivariate value added regression analyses: stepwise procedure.</w:t>
      </w:r>
    </w:p>
    <w:p>
      <w:pPr>
        <w:sectPr>
          <w:pgSz w:w="9865" w:h="14060"/>
          <w:pgMar w:top="398" w:right="1322" w:bottom="554" w:left="1346" w:header="720" w:footer="720" w:gutter="0"/>
          <w:cols w:space="720" w:num="1" w:equalWidth="0"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202"/>
        <w:gridCol w:w="1202"/>
        <w:gridCol w:w="1202"/>
        <w:gridCol w:w="1202"/>
        <w:gridCol w:w="1202"/>
        <w:gridCol w:w="1202"/>
      </w:tblGrid>
      <w:tr>
        <w:trPr>
          <w:trHeight w:hRule="exact" w:val="322"/>
        </w:trPr>
        <w:tc>
          <w:tcPr>
            <w:tcW w:type="dxa" w:w="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0"/>
              </w:rPr>
              <w:t>202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Y. Anders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 xml:space="preserve"> et al.</w:t>
            </w:r>
          </w:p>
        </w:tc>
        <w:tc>
          <w:tcPr>
            <w:tcW w:type="dxa" w:w="170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634"/>
            <w:tcBorders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Table 1.</w:t>
            </w:r>
          </w:p>
        </w:tc>
        <w:tc>
          <w:tcPr>
            <w:tcW w:type="dxa" w:w="2340"/>
            <w:tcBorders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Descriptives.</w:t>
            </w:r>
          </w:p>
        </w:tc>
        <w:tc>
          <w:tcPr>
            <w:tcW w:type="dxa" w:w="1202"/>
            <w:vMerge/>
            <w:tcBorders>
              <w:bottom w:sz="8.0" w:val="single" w:color="#221F1F"/>
            </w:tcBorders>
          </w:tcPr>
          <w:p/>
        </w:tc>
        <w:tc>
          <w:tcPr>
            <w:tcW w:type="dxa" w:w="1202"/>
            <w:vMerge/>
            <w:tcBorders>
              <w:bottom w:sz="8.0" w:val="single" w:color="#221F1F"/>
            </w:tcBorders>
          </w:tcPr>
          <w:p/>
        </w:tc>
        <w:tc>
          <w:tcPr>
            <w:tcW w:type="dxa" w:w="1202"/>
            <w:vMerge/>
            <w:tcBorders>
              <w:bottom w:sz="8.0" w:val="single" w:color="#221F1F"/>
            </w:tcBorders>
          </w:tcPr>
          <w:p/>
        </w:tc>
        <w:tc>
          <w:tcPr>
            <w:tcW w:type="dxa" w:w="1202"/>
            <w:vMerge/>
            <w:tcBorders>
              <w:bottom w:sz="8.0" w:val="single" w:color="#221F1F"/>
            </w:tcBorders>
          </w:tcPr>
          <w:p/>
        </w:tc>
      </w:tr>
      <w:tr>
        <w:trPr>
          <w:trHeight w:hRule="exact" w:val="424"/>
        </w:trPr>
        <w:tc>
          <w:tcPr>
            <w:tcW w:type="dxa" w:w="2974"/>
            <w:gridSpan w:val="2"/>
            <w:tcBorders>
              <w:top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7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Child sample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(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532)</w:t>
            </w:r>
          </w:p>
        </w:tc>
        <w:tc>
          <w:tcPr>
            <w:tcW w:type="dxa" w:w="1700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2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Mean</w:t>
            </w:r>
          </w:p>
        </w:tc>
        <w:tc>
          <w:tcPr>
            <w:tcW w:type="dxa" w:w="840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SD</w:t>
            </w:r>
          </w:p>
        </w:tc>
        <w:tc>
          <w:tcPr>
            <w:tcW w:type="dxa" w:w="940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Min</w:t>
            </w:r>
          </w:p>
        </w:tc>
        <w:tc>
          <w:tcPr>
            <w:tcW w:type="dxa" w:w="718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5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Max</w:t>
            </w:r>
          </w:p>
        </w:tc>
      </w:tr>
    </w:tbl>
    <w:p>
      <w:pPr>
        <w:autoSpaceDN w:val="0"/>
        <w:autoSpaceDE w:val="0"/>
        <w:widowControl/>
        <w:spacing w:line="178" w:lineRule="exact" w:before="22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Outcome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9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Arithmetics score t1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4.96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3.37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14</w:t>
            </w:r>
          </w:p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Arithmetics score t2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10.40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3.91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4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20</w:t>
            </w:r>
          </w:p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Arithmetics score t3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15.08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3.74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4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27</w:t>
            </w:r>
          </w:p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Arithmetics score t4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22.51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3.10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4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32</w:t>
            </w:r>
          </w:p>
        </w:tc>
      </w:tr>
      <w:tr>
        <w:trPr>
          <w:trHeight w:hRule="exact" w:val="24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Home learning environment (HLE)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0.12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0.77</w:t>
            </w:r>
          </w:p>
        </w:tc>
      </w:tr>
      <w:tr>
        <w:trPr>
          <w:trHeight w:hRule="exact" w:val="45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Preschool sample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(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97)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Structural characteristics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23.82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3.69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11.00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36.33</w:t>
            </w:r>
          </w:p>
        </w:tc>
      </w:tr>
      <w:tr>
        <w:trPr>
          <w:trHeight w:hRule="exact" w:val="18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Class size</w:t>
            </w:r>
          </w:p>
        </w:tc>
        <w:tc>
          <w:tcPr>
            <w:tcW w:type="dxa" w:w="1443"/>
            <w:vMerge/>
            <w:tcBorders/>
          </w:tcPr>
          <w:p/>
        </w:tc>
        <w:tc>
          <w:tcPr>
            <w:tcW w:type="dxa" w:w="1443"/>
            <w:vMerge/>
            <w:tcBorders/>
          </w:tcPr>
          <w:p/>
        </w:tc>
        <w:tc>
          <w:tcPr>
            <w:tcW w:type="dxa" w:w="1443"/>
            <w:vMerge/>
            <w:tcBorders/>
          </w:tcPr>
          <w:p/>
        </w:tc>
        <w:tc>
          <w:tcPr>
            <w:tcW w:type="dxa" w:w="144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Average age of all children in the class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5.05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4.31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5.70</w:t>
            </w:r>
          </w:p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Child-to-staff ratio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11.35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2.50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5.67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19.00</w:t>
            </w:r>
          </w:p>
        </w:tc>
      </w:tr>
      <w:tr>
        <w:trPr>
          <w:trHeight w:hRule="exact" w:val="2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Proportion of children whose parents had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0.90</w:t>
            </w:r>
          </w:p>
        </w:tc>
      </w:tr>
      <w:tr>
        <w:trPr>
          <w:trHeight w:hRule="exact" w:val="4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198" w:lineRule="exact" w:before="8" w:after="0"/>
              <w:ind w:left="26" w:right="432" w:firstLine="0"/>
              <w:jc w:val="left"/>
            </w:pP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a native language other than German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per child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3.46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2.25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1.47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16.00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Indicators of process quality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86"/>
        </w:trPr>
        <w:tc>
          <w:tcPr>
            <w:tcW w:type="dxa" w:w="3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ECERS-E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2.98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0.53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1.76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4.07</w:t>
            </w:r>
          </w:p>
        </w:tc>
      </w:tr>
      <w:tr>
        <w:trPr>
          <w:trHeight w:hRule="exact" w:val="260"/>
        </w:trPr>
        <w:tc>
          <w:tcPr>
            <w:tcW w:type="dxa" w:w="3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ECERS-mathematics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2.63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0.79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1.44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4.67</w:t>
            </w:r>
          </w:p>
        </w:tc>
      </w:tr>
      <w:tr>
        <w:trPr>
          <w:trHeight w:hRule="exact" w:val="528"/>
        </w:trPr>
        <w:tc>
          <w:tcPr>
            <w:tcW w:type="dxa" w:w="3754"/>
            <w:tcBorders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Primary school class sample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(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142)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Level of cognitive activation in mathematics</w:t>
            </w:r>
          </w:p>
        </w:tc>
        <w:tc>
          <w:tcPr>
            <w:tcW w:type="dxa" w:w="920"/>
            <w:tcBorders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3.21</w:t>
            </w:r>
          </w:p>
        </w:tc>
        <w:tc>
          <w:tcPr>
            <w:tcW w:type="dxa" w:w="920"/>
            <w:tcBorders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1.18</w:t>
            </w:r>
          </w:p>
        </w:tc>
        <w:tc>
          <w:tcPr>
            <w:tcW w:type="dxa" w:w="940"/>
            <w:tcBorders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1.20</w:t>
            </w:r>
          </w:p>
        </w:tc>
        <w:tc>
          <w:tcPr>
            <w:tcW w:type="dxa" w:w="638"/>
            <w:tcBorders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6.00</w:t>
            </w:r>
          </w:p>
        </w:tc>
      </w:tr>
    </w:tbl>
    <w:p>
      <w:pPr>
        <w:autoSpaceDN w:val="0"/>
        <w:autoSpaceDE w:val="0"/>
        <w:widowControl/>
        <w:spacing w:line="158" w:lineRule="exact" w:before="11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6"/>
        </w:rPr>
        <w:t>Note: For achievement in arithmetics, the average raw scores (non-standardized) are shown.</w:t>
      </w:r>
    </w:p>
    <w:p>
      <w:pPr>
        <w:autoSpaceDN w:val="0"/>
        <w:autoSpaceDE w:val="0"/>
        <w:widowControl/>
        <w:spacing w:line="240" w:lineRule="exact" w:before="440" w:after="0"/>
        <w:ind w:left="18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process quality is of special interest. We see that the quality in terms of promoting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domain-specific skills and abilities is low or medium in most of the preschools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observed. The mean of instructional quality in mathematics is 3.21, and we also find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substantial variance between primary school classrooms.</w:t>
      </w:r>
    </w:p>
    <w:p>
      <w:pPr>
        <w:autoSpaceDN w:val="0"/>
        <w:autoSpaceDE w:val="0"/>
        <w:widowControl/>
        <w:spacing w:line="238" w:lineRule="exact" w:before="42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How are child characteristics, family factors, and early years home learning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20"/>
        </w:rPr>
        <w:t>environment related with the development of numeracy skills between age 3 and age 7?</w:t>
      </w:r>
    </w:p>
    <w:p>
      <w:pPr>
        <w:autoSpaceDN w:val="0"/>
        <w:autoSpaceDE w:val="0"/>
        <w:widowControl/>
        <w:spacing w:line="200" w:lineRule="exact" w:before="4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(LLGC – Model 1)</w:t>
      </w:r>
    </w:p>
    <w:p>
      <w:pPr>
        <w:autoSpaceDN w:val="0"/>
        <w:autoSpaceDE w:val="0"/>
        <w:widowControl/>
        <w:spacing w:line="284" w:lineRule="exact" w:before="14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impact of the control variables on initial numeracy skills and their development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over years was explored with growth models. The null model confirmed the linear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growth of numeracy skills over the years as well as that the age of the child is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significant predictor at all measurement points (Year 1: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0.30***, Year 2: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0.31***, Year 3: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0.27***, Year 4: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0.26***, unstandardized coefficients).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Model 1, explanatory individual child, family background factors and the quality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the learning environment at home (HLE) were additionally included as predictors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(Table 2). The results show that gender, parental native language status, and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socioeconomic status of the family have a significant influence on initial achievement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levels (intercept) as well as on further growth (slope). Mother’s educational level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quality of the early years HLE are associated with the intercept but not the slope.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Girls start better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0.29,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0.01), but boys catch up and even show slightly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better achievement at the end of the 1st year of primary school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0.94,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0.001).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whose parents have a native language different from German show lower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achievement at the first assessment (one parent: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0.66,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0.001, both parents: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0.90,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0.001), but compared to their peers with native German parents they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show relatively stronger growth over the years (one parent: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0.80,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0.05, both</w:t>
      </w:r>
    </w:p>
    <w:p>
      <w:pPr>
        <w:sectPr>
          <w:pgSz w:w="9865" w:h="14060"/>
          <w:pgMar w:top="400" w:right="1324" w:bottom="478" w:left="1328" w:header="720" w:footer="720" w:gutter="0"/>
          <w:cols w:space="720" w:num="1" w:equalWidth="0"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203</w:t>
      </w:r>
    </w:p>
    <w:p>
      <w:pPr>
        <w:autoSpaceDN w:val="0"/>
        <w:tabs>
          <w:tab w:pos="824" w:val="left"/>
        </w:tabs>
        <w:autoSpaceDE w:val="0"/>
        <w:widowControl/>
        <w:spacing w:line="198" w:lineRule="exact" w:before="23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Table 2.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Results of latent growth curve analyses to predict the development of numeracy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skills between the first and fourth assessment.</w:t>
      </w:r>
    </w:p>
    <w:p>
      <w:pPr>
        <w:autoSpaceDN w:val="0"/>
        <w:autoSpaceDE w:val="0"/>
        <w:widowControl/>
        <w:spacing w:line="178" w:lineRule="exact" w:before="186" w:after="96"/>
        <w:ind w:left="0" w:right="1380" w:firstLine="0"/>
        <w:jc w:val="right"/>
      </w:pPr>
      <w:r>
        <w:rPr>
          <w:rFonts w:ascii="AdvTimes" w:hAnsi="AdvTimes" w:eastAsia="AdvTimes"/>
          <w:b w:val="0"/>
          <w:i w:val="0"/>
          <w:color w:val="221F1F"/>
          <w:sz w:val="18"/>
        </w:rPr>
        <w:t>LLGC Model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39"/>
        <w:gridCol w:w="1439"/>
        <w:gridCol w:w="1439"/>
        <w:gridCol w:w="1439"/>
        <w:gridCol w:w="1439"/>
      </w:tblGrid>
      <w:tr>
        <w:trPr>
          <w:trHeight w:hRule="exact" w:val="334"/>
        </w:trPr>
        <w:tc>
          <w:tcPr>
            <w:tcW w:type="dxa" w:w="32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2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Intercept</w:t>
            </w:r>
          </w:p>
        </w:tc>
        <w:tc>
          <w:tcPr>
            <w:tcW w:type="dxa" w:w="151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3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Slope</w:t>
            </w:r>
          </w:p>
        </w:tc>
        <w:tc>
          <w:tcPr>
            <w:tcW w:type="dxa" w:w="63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8"/>
        </w:trPr>
        <w:tc>
          <w:tcPr>
            <w:tcW w:type="dxa" w:w="32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Predictors</w:t>
            </w:r>
          </w:p>
        </w:tc>
        <w:tc>
          <w:tcPr>
            <w:tcW w:type="dxa" w:w="90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46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84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  <w:tc>
          <w:tcPr>
            <w:tcW w:type="dxa" w:w="151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63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</w:tr>
      <w:tr>
        <w:trPr>
          <w:trHeight w:hRule="exact" w:val="256"/>
        </w:trPr>
        <w:tc>
          <w:tcPr>
            <w:tcW w:type="dxa" w:w="32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Child and family background factors</w:t>
            </w:r>
          </w:p>
        </w:tc>
        <w:tc>
          <w:tcPr>
            <w:tcW w:type="dxa" w:w="90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0" w:after="0"/>
              <w:ind w:left="0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#</w:t>
            </w:r>
          </w:p>
        </w:tc>
        <w:tc>
          <w:tcPr>
            <w:tcW w:type="dxa" w:w="84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8" w:after="0"/>
              <w:ind w:left="0" w:right="1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151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0.16</w:t>
            </w:r>
          </w:p>
        </w:tc>
        <w:tc>
          <w:tcPr>
            <w:tcW w:type="dxa" w:w="638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0.12</w:t>
            </w:r>
          </w:p>
        </w:tc>
      </w:tr>
      <w:tr>
        <w:trPr>
          <w:trHeight w:hRule="exact" w:val="200"/>
        </w:trPr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Age of child at entry to the preschool</w:t>
            </w:r>
          </w:p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22"/>
        </w:trPr>
        <w:tc>
          <w:tcPr>
            <w:tcW w:type="dxa" w:w="32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20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setting</w:t>
            </w:r>
          </w:p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  <w:tc>
          <w:tcPr>
            <w:tcW w:type="dxa" w:w="1439"/>
            <w:vMerge/>
            <w:tcBorders>
              <w:top w:sz="4.0" w:val="single" w:color="#221F1F"/>
            </w:tcBorders>
          </w:tcPr>
          <w:p/>
        </w:tc>
        <w:tc>
          <w:tcPr>
            <w:tcW w:type="dxa" w:w="15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6" w:after="0"/>
              <w:ind w:left="0" w:right="3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0.94***</w:t>
            </w:r>
          </w:p>
        </w:tc>
        <w:tc>
          <w:tcPr>
            <w:tcW w:type="dxa" w:w="6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0.24</w:t>
            </w:r>
          </w:p>
        </w:tc>
      </w:tr>
      <w:tr>
        <w:trPr>
          <w:trHeight w:hRule="exact" w:val="94"/>
        </w:trPr>
        <w:tc>
          <w:tcPr>
            <w:tcW w:type="dxa" w:w="1439"/>
            <w:vMerge/>
            <w:tcBorders/>
          </w:tcPr>
          <w:p/>
        </w:tc>
        <w:tc>
          <w:tcPr>
            <w:tcW w:type="dxa" w:w="9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6" w:after="0"/>
              <w:ind w:left="0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0.29**</w:t>
            </w:r>
          </w:p>
        </w:tc>
        <w:tc>
          <w:tcPr>
            <w:tcW w:type="dxa" w:w="8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4" w:after="0"/>
              <w:ind w:left="0" w:right="1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</w:t>
            </w:r>
          </w:p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Gender (0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female, 1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male)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Parental native language status</w:t>
            </w:r>
          </w:p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10" w:after="6"/>
        <w:ind w:left="24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Reference category: none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39"/>
        <w:gridCol w:w="1439"/>
        <w:gridCol w:w="1439"/>
        <w:gridCol w:w="1439"/>
        <w:gridCol w:w="1439"/>
      </w:tblGrid>
      <w:tr>
        <w:trPr>
          <w:trHeight w:hRule="exact" w:val="199"/>
        </w:trPr>
        <w:tc>
          <w:tcPr>
            <w:tcW w:type="dxa" w:w="2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One parent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260" w:firstLine="0"/>
              <w:jc w:val="righ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0.66***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4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0.80*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0.36</w:t>
            </w:r>
          </w:p>
        </w:tc>
      </w:tr>
      <w:tr>
        <w:trPr>
          <w:trHeight w:hRule="exact" w:val="191"/>
        </w:trPr>
        <w:tc>
          <w:tcPr>
            <w:tcW w:type="dxa" w:w="2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Both parents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260" w:firstLine="0"/>
              <w:jc w:val="righ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0.90***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2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1.96***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0.48</w:t>
            </w:r>
          </w:p>
        </w:tc>
      </w:tr>
      <w:tr>
        <w:trPr>
          <w:trHeight w:hRule="exact" w:val="212"/>
        </w:trPr>
        <w:tc>
          <w:tcPr>
            <w:tcW w:type="dxa" w:w="2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Mother’s education</w:t>
            </w:r>
          </w:p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  <w:tc>
          <w:tcPr>
            <w:tcW w:type="dxa" w:w="1439"/>
            <w:vMerge/>
            <w:tcBorders/>
          </w:tcPr>
          <w:p/>
        </w:tc>
      </w:tr>
    </w:tbl>
    <w:p>
      <w:pPr>
        <w:autoSpaceDN w:val="0"/>
        <w:tabs>
          <w:tab w:pos="200" w:val="left"/>
        </w:tabs>
        <w:autoSpaceDE w:val="0"/>
        <w:widowControl/>
        <w:spacing w:line="194" w:lineRule="exact" w:before="0" w:after="10"/>
        <w:ind w:left="0" w:right="4464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Reference category: no degree or a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degree at vocational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1439"/>
        <w:gridCol w:w="1439"/>
        <w:gridCol w:w="1439"/>
        <w:gridCol w:w="1439"/>
        <w:gridCol w:w="1439"/>
      </w:tblGrid>
      <w:tr>
        <w:trPr>
          <w:trHeight w:hRule="exact" w:val="19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General certificate of secondary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0.27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10"/>
        <w:ind w:left="20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1439"/>
        <w:gridCol w:w="1439"/>
        <w:gridCol w:w="1439"/>
        <w:gridCol w:w="1439"/>
        <w:gridCol w:w="1439"/>
      </w:tblGrid>
      <w:tr>
        <w:trPr>
          <w:trHeight w:hRule="exact" w:val="20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Qualification for university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38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0.34</w:t>
            </w:r>
          </w:p>
        </w:tc>
      </w:tr>
    </w:tbl>
    <w:p>
      <w:pPr>
        <w:autoSpaceDN w:val="0"/>
        <w:autoSpaceDE w:val="0"/>
        <w:widowControl/>
        <w:spacing w:line="178" w:lineRule="exact" w:before="10" w:after="6"/>
        <w:ind w:left="20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entrance in Germany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1439"/>
        <w:gridCol w:w="1439"/>
        <w:gridCol w:w="1439"/>
        <w:gridCol w:w="1439"/>
        <w:gridCol w:w="1439"/>
      </w:tblGrid>
      <w:tr>
        <w:trPr>
          <w:trHeight w:hRule="exact" w:val="19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6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Any other degree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0.67*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2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86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0.61</w:t>
            </w:r>
          </w:p>
        </w:tc>
      </w:tr>
      <w:tr>
        <w:trPr>
          <w:trHeight w:hRule="exact" w:val="20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Highest socioeconomic status of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0.12*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2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3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0.30*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</w:t>
            </w:r>
          </w:p>
        </w:tc>
      </w:tr>
    </w:tbl>
    <w:p>
      <w:pPr>
        <w:autoSpaceDN w:val="0"/>
        <w:autoSpaceDE w:val="0"/>
        <w:widowControl/>
        <w:spacing w:line="178" w:lineRule="exact" w:before="12" w:after="10"/>
        <w:ind w:left="20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the family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9"/>
        <w:gridCol w:w="1199"/>
        <w:gridCol w:w="1199"/>
        <w:gridCol w:w="1199"/>
        <w:gridCol w:w="1199"/>
        <w:gridCol w:w="1199"/>
      </w:tblGrid>
      <w:tr>
        <w:trPr>
          <w:trHeight w:hRule="exact" w:val="196"/>
        </w:trPr>
        <w:tc>
          <w:tcPr>
            <w:tcW w:type="dxa" w:w="3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Home learning environment (HLE)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52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0.23***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34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0.08</w:t>
            </w:r>
          </w:p>
        </w:tc>
        <w:tc>
          <w:tcPr>
            <w:tcW w:type="dxa" w:w="78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1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0.25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0.63**</w:t>
            </w:r>
          </w:p>
        </w:tc>
        <w:tc>
          <w:tcPr>
            <w:tcW w:type="dxa" w:w="478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</w:t>
            </w:r>
          </w:p>
        </w:tc>
      </w:tr>
      <w:tr>
        <w:trPr>
          <w:trHeight w:hRule="exact" w:val="402"/>
        </w:trPr>
        <w:tc>
          <w:tcPr>
            <w:tcW w:type="dxa" w:w="3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44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Slope with Intercept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148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 xml:space="preserve"> 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0.09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0.29***</w:t>
            </w:r>
          </w:p>
        </w:tc>
        <w:tc>
          <w:tcPr>
            <w:tcW w:type="dxa" w:w="102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12" w:after="0"/>
              <w:ind w:left="0" w:right="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0.91/0.07</w:t>
            </w:r>
          </w:p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</w:tr>
      <w:tr>
        <w:trPr>
          <w:trHeight w:hRule="exact" w:val="276"/>
        </w:trPr>
        <w:tc>
          <w:tcPr>
            <w:tcW w:type="dxa" w:w="3074"/>
            <w:tcBorders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CFI/RMSEA</w:t>
            </w:r>
          </w:p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  <w:tc>
          <w:tcPr>
            <w:tcW w:type="dxa" w:w="1199"/>
            <w:vMerge/>
            <w:tcBorders>
              <w:bottom w:sz="8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188" w:lineRule="exact" w:before="82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Notes: In all models, age at assessment was included as time-varying predictor, although not shown in the </w:t>
      </w:r>
      <w:r>
        <w:rPr>
          <w:rFonts w:ascii="AdvTimes" w:hAnsi="AdvTimes" w:eastAsia="AdvTimes"/>
          <w:b w:val="0"/>
          <w:i w:val="0"/>
          <w:color w:val="221F1F"/>
          <w:sz w:val="16"/>
        </w:rPr>
        <w:t>table. Coefficients are standardized using the variances of the continuous latent variables (Std-</w:t>
      </w:r>
      <w:r>
        <w:rPr>
          <w:rFonts w:ascii="AdvTimes" w:hAnsi="AdvTimes" w:eastAsia="AdvTimes"/>
          <w:b w:val="0"/>
          <w:i w:val="0"/>
          <w:color w:val="221F1F"/>
          <w:sz w:val="16"/>
        </w:rPr>
        <w:t>standardization). #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0.10, 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0.05, **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0.01, ***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0.001.</w:t>
      </w:r>
    </w:p>
    <w:p>
      <w:pPr>
        <w:autoSpaceDN w:val="0"/>
        <w:autoSpaceDE w:val="0"/>
        <w:widowControl/>
        <w:spacing w:line="448" w:lineRule="exact" w:before="40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parents: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1.96,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0.001). With respect to the influence of the socioeconomic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status of the family (HISEI), we find that children with higher socioeconomic status</w:t>
      </w:r>
    </w:p>
    <w:p>
      <w:pPr>
        <w:autoSpaceDN w:val="0"/>
        <w:autoSpaceDE w:val="0"/>
        <w:widowControl/>
        <w:spacing w:line="318" w:lineRule="exact" w:before="6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have higher numeracy skills already at the first assessment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0.12,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that the achievement gap widens over the following years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0.30,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0.01). Early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years HLE has a strong effect on numeracy skills at age 3 (intercept,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0.23,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0.01), but there is no further significant effect of HLE on the slope. The fit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Model 1 is moderate (CFI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0.91, RMSEA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0.07).</w:t>
      </w:r>
    </w:p>
    <w:p>
      <w:pPr>
        <w:autoSpaceDN w:val="0"/>
        <w:autoSpaceDE w:val="0"/>
        <w:widowControl/>
        <w:spacing w:line="200" w:lineRule="exact" w:before="31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How are characteristics of the preschool settings related with the development of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numeracy skills between age 3 and age 7? (LLGC: Models 2, 3a, 3b, 4a, 4b)</w:t>
      </w:r>
    </w:p>
    <w:p>
      <w:pPr>
        <w:autoSpaceDN w:val="0"/>
        <w:autoSpaceDE w:val="0"/>
        <w:widowControl/>
        <w:spacing w:line="198" w:lineRule="exact" w:before="10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In the next step, the influence of preschool indicators was examined. LLGC model 2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(Table 3) includes structural characteristics of preschool settings as potential</w:t>
      </w: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predictors while controlling for all factors tested in Model 1. The results indicate that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the average age of children in the class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0.11,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 is positively related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initial numeracy skills, whereas the number of children with non-German native</w:t>
      </w:r>
    </w:p>
    <w:p>
      <w:pPr>
        <w:autoSpaceDN w:val="0"/>
        <w:autoSpaceDE w:val="0"/>
        <w:widowControl/>
        <w:spacing w:line="238" w:lineRule="exact" w:before="150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parents in the class has a negative influence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0.15,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Class size is also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negatively associated with initial numeracy skills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0.13,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0.01), but children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who are part of larger classes tend to catch up over years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0.18,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0.10). Also,</w:t>
      </w:r>
    </w:p>
    <w:p>
      <w:pPr>
        <w:sectPr>
          <w:pgSz w:w="9865" w:h="14060"/>
          <w:pgMar w:top="400" w:right="1322" w:bottom="478" w:left="1346" w:header="720" w:footer="720" w:gutter="0"/>
          <w:cols w:space="720" w:num="1" w:equalWidth="0"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>
        <w:trPr>
          <w:trHeight w:hRule="exact" w:val="394"/>
        </w:trPr>
        <w:tc>
          <w:tcPr>
            <w:tcW w:type="dxa" w:w="4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0"/>
              </w:rPr>
              <w:t>204</w:t>
            </w:r>
          </w:p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20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Y. Anders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 xml:space="preserve"> et al.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</w:p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0.29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0.76**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0.34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0.90/0.07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4" w:after="0"/>
              <w:ind w:left="0" w:right="28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 xml:space="preserve">Notes: The models controlled for all predictors of Model 1 as well as HLE literacy and HLE numeracy although not shown in the table. Coefficients are standardized using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>the variances of the continuous latent variables (Std-standardization).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221F1F"/>
                <w:sz w:val="11"/>
              </w:rPr>
              <w:t xml:space="preserve"> #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>p</w:t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6"/>
              </w:rPr>
              <w:t xml:space="preserve"> 5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 xml:space="preserve"> 0.10, *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>p</w:t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6"/>
              </w:rPr>
              <w:t xml:space="preserve"> 5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 xml:space="preserve"> 0.05, **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>p</w:t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6"/>
              </w:rPr>
              <w:t xml:space="preserve"> 5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 xml:space="preserve"> 0.01, ***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>p</w:t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6"/>
              </w:rPr>
              <w:t xml:space="preserve"> 5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6"/>
              </w:rPr>
              <w:t xml:space="preserve"> 0.001.</w:t>
            </w:r>
          </w:p>
        </w:tc>
      </w:tr>
      <w:tr>
        <w:trPr>
          <w:trHeight w:hRule="exact" w:val="388"/>
        </w:trPr>
        <w:tc>
          <w:tcPr>
            <w:tcW w:type="dxa" w:w="394"/>
            <w:vMerge/>
            <w:tcBorders/>
          </w:tcPr>
          <w:p/>
        </w:tc>
        <w:tc>
          <w:tcPr>
            <w:tcW w:type="dxa" w:w="968"/>
            <w:vMerge w:val="restart"/>
            <w:tcBorders>
              <w:end w:sz="8.0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92" w:after="0"/>
              <w:ind w:left="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Results of latent growth curve analyses to predict the development of numeracy skills between the first and fourth assessment.</w:t>
            </w:r>
          </w:p>
        </w:tc>
        <w:tc>
          <w:tcPr>
            <w:tcW w:type="dxa" w:w="362"/>
            <w:vMerge w:val="restart"/>
            <w:tcBorders>
              <w:start w:sz="8.0" w:val="single" w:color="#221F1F"/>
              <w:end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0" w:right="6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LLGC Model 3b</w:t>
            </w:r>
          </w:p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Slope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0.18*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72" w:right="144" w:firstLine="178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0.17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0.17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72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 xml:space="preserve">#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0.85**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0.20*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Intercept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0.35***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0.04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80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70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</w:tabs>
              <w:autoSpaceDE w:val="0"/>
              <w:widowControl/>
              <w:spacing w:line="178" w:lineRule="exact" w:before="338" w:after="0"/>
              <w:ind w:left="78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0.13**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0.11*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78" w:right="144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0.01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0.14*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20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0.13**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20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0.41**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8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183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0.90/0.06</w:t>
            </w:r>
          </w:p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1182"/>
            <w:gridSpan w:val="3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0.28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0.75**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0.33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5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62"/>
            <w:vMerge w:val="restart"/>
            <w:tcBorders>
              <w:start w:sz="8.0" w:val="single" w:color="#221F1F"/>
              <w:end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LLGC Model 3a</w:t>
            </w:r>
          </w:p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457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Slope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13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8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0.19*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80" w:right="144" w:firstLine="178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0.18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1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0.20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0" w:firstLine="0"/>
              <w:jc w:val="center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0.20*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0.82*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72" w:after="0"/>
              <w:ind w:left="0" w:right="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0.19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#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Intercept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13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0.35***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0.04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0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78" w:lineRule="exact" w:before="338" w:after="0"/>
              <w:ind w:left="84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0.13**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0.11*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84" w:right="144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0.01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0.14*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9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0.13**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9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0.41**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1182"/>
            <w:gridSpan w:val="3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0" w:after="0"/>
              <w:ind w:left="0" w:right="18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1182"/>
            <w:gridSpan w:val="3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707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62"/>
            <w:vMerge w:val="restart"/>
            <w:tcBorders>
              <w:start w:sz="8.0" w:val="single" w:color="#221F1F"/>
              <w:end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0" w:right="9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LLGC Model 2</w:t>
            </w:r>
          </w:p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Slope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0.27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Process quality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ECERS-E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ECERS-Mathematics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0.73**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0.33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12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0.89/0.07</w:t>
            </w:r>
          </w:p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8" w:after="0"/>
              <w:ind w:left="0" w:right="1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#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152" w:right="144" w:firstLine="18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0.16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24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144" w:right="144" w:firstLine="0"/>
              <w:jc w:val="center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0.18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 xml:space="preserve">#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0.67*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10"/>
            <w:vMerge w:val="restart"/>
            <w:tcBorders>
              <w:start w:sz="4.800000000000182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5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Intercept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61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8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636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3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0.35***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0.06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70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78" w:lineRule="exact" w:before="338" w:after="0"/>
              <w:ind w:left="80" w:right="144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0.13**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0.11*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80" w:right="144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0.01 </w:t>
            </w:r>
            <w:r>
              <w:br/>
            </w: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0.15*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2" w:after="0"/>
              <w:ind w:left="0" w:right="15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0.13**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15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0.43**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567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3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1182"/>
            <w:gridSpan w:val="3"/>
            <w:vMerge/>
            <w:tcBorders/>
          </w:tcPr>
          <w:p/>
        </w:tc>
        <w:tc>
          <w:tcPr>
            <w:tcW w:type="dxa" w:w="788"/>
            <w:gridSpan w:val="2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651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Structural preschool characteristics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Class size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Average age of children in the class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Child-to-staff ratio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Proportion of children whose parents had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196" w:lineRule="exact" w:before="0" w:after="0"/>
              <w:ind w:left="0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a native language other than German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per child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Federal state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1602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0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Slope with Intercept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>
              <w:end w:sz="8.0" w:val="single" w:color="#221F1F"/>
            </w:tcBorders>
          </w:tcPr>
          <w:p/>
        </w:tc>
        <w:tc>
          <w:tcPr>
            <w:tcW w:type="dxa" w:w="394"/>
            <w:vMerge/>
            <w:tcBorders>
              <w:start w:sz="8.0" w:val="single" w:color="#221F1F"/>
              <w:end w:sz="4.800000000000182" w:val="single" w:color="#221F1F"/>
            </w:tcBorders>
          </w:tcPr>
          <w:p/>
        </w:tc>
        <w:tc>
          <w:tcPr>
            <w:tcW w:type="dxa" w:w="394"/>
            <w:vMerge/>
            <w:tcBorders>
              <w:start w:sz="4.800000000000182" w:val="single" w:color="#221F1F"/>
            </w:tcBorders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Predictors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CFI/RMSEA</w:t>
            </w:r>
          </w:p>
        </w:tc>
        <w:tc>
          <w:tcPr>
            <w:tcW w:type="dxa" w:w="394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394"/>
            <w:vMerge/>
            <w:tcBorders/>
          </w:tcPr>
          <w:p/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9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Table 3.</w:t>
            </w:r>
          </w:p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  <w:tc>
          <w:tcPr>
            <w:tcW w:type="dxa" w:w="3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865" w:h="14060"/>
          <w:pgMar w:top="400" w:right="1440" w:bottom="578" w:left="1328" w:header="720" w:footer="720" w:gutter="0"/>
          <w:cols w:space="720" w:num="1" w:equalWidth="0"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205</w:t>
      </w:r>
    </w:p>
    <w:p>
      <w:pPr>
        <w:autoSpaceDN w:val="0"/>
        <w:autoSpaceDE w:val="0"/>
        <w:widowControl/>
        <w:spacing w:line="320" w:lineRule="exact" w:before="306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the spatial size is positively related to initial achievement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0.01). We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observe a significant effect for the federal state indicating that children from Hesse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compared to children from Bavaria have lower initial skills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0.43,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 but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show better progress over years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0.67,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The amount of explained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variance of Model 2 is 35% (intercept) and 73% (slope), respectively, model fit is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moderate (CFI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0.89, RMSEA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0.06).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investigate if effects of preschool quality persist until the end of the 1st year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 (age 7), indicators of the process quality of the preschool were added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LLGC models 3a and 3b. None of the indicators has a significant influence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initial achievement levels (see Table 3). The overall ECERS-E score just failed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reach statistical significance in its impact on growth between age 3 and age 7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0.19,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0.08), but ECERS-mathematics has a significant influence on growth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0.20,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Model fit of Models 3a and 3b is satisfying; the models explain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35% of variance of the intercept, amounts of explained variance of the slope are 75%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and 76%, respectively.</w:t>
      </w:r>
    </w:p>
    <w:p>
      <w:pPr>
        <w:autoSpaceDN w:val="0"/>
        <w:autoSpaceDE w:val="0"/>
        <w:widowControl/>
        <w:spacing w:line="282" w:lineRule="exact" w:before="0" w:after="0"/>
        <w:ind w:left="0" w:right="24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who went to higher quality preschool settings might also have moved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higher quality primary schools. One might argue that the persisting effect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preschools’ process quality on the development of numeracy skills is reflecting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positive effect of primary schools’ instructional quality in mathematics rather than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showing a persisting effect of preschool quality. In our sample, we find only low but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negative correlations between preschools’ process quality and primary schools’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instructional quality in mathematics (ECERS-E: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r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0.05, ECERS-mathematics: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r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0.03). Also, the beneficial effects of ECERS-mathematics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0.21,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when controlling for the instructional quality in mathematics at the primary 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and ECERS-E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0.21,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0.10) on growth remain stable in the models (4a, 4b)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attended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0.08,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4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The strengths of the effects of the other predictors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included in Models 4a and 4b also remain stable when primary schools’ instructional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quality is added. Therefore, Models 4a and 4b are not shown in Table 1.</w:t>
      </w:r>
    </w:p>
    <w:p>
      <w:pPr>
        <w:autoSpaceDN w:val="0"/>
        <w:autoSpaceDE w:val="0"/>
        <w:widowControl/>
        <w:spacing w:line="240" w:lineRule="exact" w:before="41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How do the qualities of pre- and primary school interact in their influence on numeracy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skills between age 5 and age 7? (Regression models 1a, 1b, 2a, 2b)</w:t>
      </w:r>
    </w:p>
    <w:p>
      <w:pPr>
        <w:autoSpaceDN w:val="0"/>
        <w:autoSpaceDE w:val="0"/>
        <w:widowControl/>
        <w:spacing w:line="274" w:lineRule="exact" w:before="24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We further focused on the development between age 5 and age 7, when children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move from preschool to primary school and have their first primary 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experiences. In multivariate value-added regression analyses, numeracy skills at age 7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were treated as an outcome. In the first step, the influences of preschools’ process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on achievement were investigated controlling for achievement at age 5 and all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other child, background, home learning, and preschool characteristics. Second, we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included the quality of mathematics instruction in the models. Table 4 shows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results of the models including the subscale ‘‘mathematics’’ of ECERS-E (Regression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models 1a, 2a). It should be noted that the coefficients may not be compared directly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with the coefficients obtained in the latent growth models. The results demonstrate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that – as expected – numeracy skills at age 5 are highly predictive for numeracy skills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at age 7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0.48,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0.001). We further see that the socioeconomic status is also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related with progress between age 5 and age 7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0.05), whereas parental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native language status and mother’s educational level are not. Interestingly,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of early years HLE shows an effect for development between age 5 and age 7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0.09,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But while observing this, one has to consider that testing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effect of HLE in the latent growth model is more conservative than testing it in</w:t>
      </w:r>
    </w:p>
    <w:p>
      <w:pPr>
        <w:sectPr>
          <w:pgSz w:w="9865" w:h="14060"/>
          <w:pgMar w:top="398" w:right="1322" w:bottom="552" w:left="1346" w:header="720" w:footer="720" w:gutter="0"/>
          <w:cols w:space="720" w:num="1" w:equalWidth="0"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206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tabs>
          <w:tab w:pos="870" w:val="left"/>
        </w:tabs>
        <w:autoSpaceDE w:val="0"/>
        <w:widowControl/>
        <w:spacing w:line="198" w:lineRule="exact" w:before="236" w:after="88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Table 4.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Results of regression analyses to predict the development of numeracy skills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between the third (age 5) and fourth assessment (age 7).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270"/>
        </w:trPr>
        <w:tc>
          <w:tcPr>
            <w:tcW w:type="dxa" w:w="3882"/>
            <w:vMerge w:val="restart"/>
            <w:tcBorders>
              <w:top w:sz="8.0" w:val="single" w:color="#221F1F"/>
              <w:bottom w:sz="4.799999999999954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vMerge w:val="restart"/>
            <w:tcBorders>
              <w:top w:sz="8.0" w:val="single" w:color="#221F1F"/>
              <w:bottom w:sz="4.799999999999954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14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8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Regression</w:t>
            </w:r>
          </w:p>
        </w:tc>
        <w:tc>
          <w:tcPr>
            <w:tcW w:type="dxa" w:w="426"/>
            <w:vMerge w:val="restart"/>
            <w:tcBorders>
              <w:top w:sz="8.0" w:val="single" w:color="#221F1F"/>
              <w:bottom w:sz="4.799999999999954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8" w:after="0"/>
              <w:ind w:left="1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Regression</w:t>
            </w:r>
          </w:p>
        </w:tc>
      </w:tr>
      <w:tr>
        <w:trPr>
          <w:trHeight w:hRule="exact" w:val="290"/>
        </w:trPr>
        <w:tc>
          <w:tcPr>
            <w:tcW w:type="dxa" w:w="1443"/>
            <w:vMerge/>
            <w:tcBorders>
              <w:top w:sz="8.0" w:val="single" w:color="#221F1F"/>
              <w:bottom w:sz="4.7999999999999545" w:val="single" w:color="#221F1F"/>
            </w:tcBorders>
          </w:tcPr>
          <w:p/>
        </w:tc>
        <w:tc>
          <w:tcPr>
            <w:tcW w:type="dxa" w:w="1443"/>
            <w:vMerge/>
            <w:tcBorders>
              <w:top w:sz="8.0" w:val="single" w:color="#221F1F"/>
              <w:bottom w:sz="4.7999999999999545" w:val="single" w:color="#221F1F"/>
            </w:tcBorders>
          </w:tcPr>
          <w:p/>
        </w:tc>
        <w:tc>
          <w:tcPr>
            <w:tcW w:type="dxa" w:w="1314"/>
            <w:tcBorders>
              <w:bottom w:sz="4.799999999999954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Model 1a</w:t>
            </w:r>
          </w:p>
        </w:tc>
        <w:tc>
          <w:tcPr>
            <w:tcW w:type="dxa" w:w="1443"/>
            <w:vMerge/>
            <w:tcBorders>
              <w:top w:sz="8.0" w:val="single" w:color="#221F1F"/>
              <w:bottom w:sz="4.7999999999999545" w:val="single" w:color="#221F1F"/>
            </w:tcBorders>
          </w:tcPr>
          <w:p/>
        </w:tc>
        <w:tc>
          <w:tcPr>
            <w:tcW w:type="dxa" w:w="1318"/>
            <w:tcBorders>
              <w:bottom w:sz="4.799999999999954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Model 2a</w:t>
            </w:r>
          </w:p>
        </w:tc>
      </w:tr>
      <w:tr>
        <w:trPr>
          <w:trHeight w:hRule="exact" w:val="336"/>
        </w:trPr>
        <w:tc>
          <w:tcPr>
            <w:tcW w:type="dxa" w:w="3882"/>
            <w:tcBorders>
              <w:top w:sz="4.799999999999954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Predictors</w:t>
            </w:r>
          </w:p>
        </w:tc>
        <w:tc>
          <w:tcPr>
            <w:tcW w:type="dxa" w:w="232"/>
            <w:tcBorders>
              <w:top w:sz="4.799999999999954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1314"/>
            <w:tcBorders>
              <w:top w:sz="4.799999999999954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  <w:tc>
          <w:tcPr>
            <w:tcW w:type="dxa" w:w="426"/>
            <w:tcBorders>
              <w:top w:sz="4.799999999999954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1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</w:t>
            </w:r>
          </w:p>
        </w:tc>
        <w:tc>
          <w:tcPr>
            <w:tcW w:type="dxa" w:w="1318"/>
            <w:tcBorders>
              <w:top w:sz="4.799999999999954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SE (B)</w:t>
            </w:r>
          </w:p>
        </w:tc>
      </w:tr>
    </w:tbl>
    <w:p>
      <w:pPr>
        <w:autoSpaceDN w:val="0"/>
        <w:autoSpaceDE w:val="0"/>
        <w:widowControl/>
        <w:spacing w:line="180" w:lineRule="exact" w:before="44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Child and family background factors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90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Age at fourth assessment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4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0.15***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0.15***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00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Numeracy skills at third assessment (age 5)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14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0.48***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1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0.48***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00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Age of child at entry to the preschool setting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180" w:lineRule="exact" w:before="36" w:after="0"/>
              <w:ind w:left="208" w:right="288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0.05 </w:t>
            </w:r>
            <w:r>
              <w:br/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#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182" w:lineRule="exact" w:before="34" w:after="0"/>
              <w:ind w:left="170" w:right="288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0.05 </w:t>
            </w:r>
            <w:r>
              <w:br/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#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</w:tr>
      <w:tr>
        <w:trPr>
          <w:trHeight w:hRule="exact" w:val="40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Gender (0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female, 1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 male)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Parental native language status</w:t>
            </w:r>
          </w:p>
        </w:tc>
        <w:tc>
          <w:tcPr>
            <w:tcW w:type="dxa" w:w="144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144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</w:tr>
    </w:tbl>
    <w:p>
      <w:pPr>
        <w:autoSpaceDN w:val="0"/>
        <w:autoSpaceDE w:val="0"/>
        <w:widowControl/>
        <w:spacing w:line="178" w:lineRule="exact" w:before="10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Reference category: none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9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One parent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2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0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Both parents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2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</w:tbl>
    <w:p>
      <w:pPr>
        <w:autoSpaceDN w:val="0"/>
        <w:tabs>
          <w:tab w:pos="218" w:val="left"/>
        </w:tabs>
        <w:autoSpaceDE w:val="0"/>
        <w:widowControl/>
        <w:spacing w:line="196" w:lineRule="exact" w:before="0" w:after="10"/>
        <w:ind w:left="18" w:right="360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Mother’s education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Reference category: no degree or a degree at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vocational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9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General certificate of secondary education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2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</w:tr>
      <w:tr>
        <w:trPr>
          <w:trHeight w:hRule="exact" w:val="20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Qualification for university entrance in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2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0.08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10"/>
        <w:ind w:left="2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Germany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8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Any other degree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0.06</w:t>
            </w:r>
          </w:p>
        </w:tc>
      </w:tr>
      <w:tr>
        <w:trPr>
          <w:trHeight w:hRule="exact" w:val="20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Highest socioeconomic status of the family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1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0.13**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0.13**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</w:tr>
      <w:tr>
        <w:trPr>
          <w:trHeight w:hRule="exact" w:val="21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Home learning environment (HLE)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2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0.09*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0.09*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Structural preschool characteristics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18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Class size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2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0.11*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0.11*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Average age of children in the class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1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Child-to-staff ratio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248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170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</w:tr>
      <w:tr>
        <w:trPr>
          <w:trHeight w:hRule="exact" w:val="183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Proportion of children whose parents had 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4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200" w:lineRule="exact" w:before="0" w:after="0"/>
              <w:ind w:left="26" w:right="576" w:firstLine="0"/>
              <w:jc w:val="left"/>
            </w:pP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native language other than German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M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per child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4" w:after="0"/>
              <w:ind w:left="248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4" w:after="0"/>
              <w:ind w:left="170" w:right="0" w:firstLine="0"/>
              <w:jc w:val="left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  <w:tr>
        <w:trPr>
          <w:trHeight w:hRule="exact" w:val="222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Federal state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0.15**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AdvPi1" w:hAnsi="AdvPi1" w:eastAsia="AdvPi1"/>
                <w:b w:val="0"/>
                <w:i w:val="0"/>
                <w:color w:val="221F1F"/>
                <w:sz w:val="18"/>
              </w:rPr>
              <w:t>7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0.15**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</w:tr>
    </w:tbl>
    <w:p>
      <w:pPr>
        <w:autoSpaceDN w:val="0"/>
        <w:autoSpaceDE w:val="0"/>
        <w:widowControl/>
        <w:spacing w:line="178" w:lineRule="exact" w:before="0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Process quality preschool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1443"/>
        <w:gridCol w:w="1443"/>
        <w:gridCol w:w="1443"/>
        <w:gridCol w:w="1443"/>
        <w:gridCol w:w="1443"/>
      </w:tblGrid>
      <w:tr>
        <w:trPr>
          <w:trHeight w:hRule="exact" w:val="2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ECERS-Mathematics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24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0.07*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0.08*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0.04</w:t>
            </w:r>
          </w:p>
        </w:tc>
      </w:tr>
    </w:tbl>
    <w:p>
      <w:pPr>
        <w:autoSpaceDN w:val="0"/>
        <w:autoSpaceDE w:val="0"/>
        <w:widowControl/>
        <w:spacing w:line="178" w:lineRule="exact" w:before="10" w:after="1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Process quality primary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803"/>
        <w:gridCol w:w="1803"/>
        <w:gridCol w:w="1803"/>
        <w:gridCol w:w="1803"/>
      </w:tblGrid>
      <w:tr>
        <w:trPr>
          <w:trHeight w:hRule="exact" w:val="192"/>
        </w:trPr>
        <w:tc>
          <w:tcPr>
            <w:tcW w:type="dxa" w:w="3734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8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 xml:space="preserve">Level of cognitive activation in mathematics </w:t>
            </w: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R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1480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0" w:after="0"/>
              <w:ind w:left="32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0.41***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3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0.03</w:t>
            </w:r>
          </w:p>
        </w:tc>
        <w:tc>
          <w:tcPr>
            <w:tcW w:type="dxa" w:w="618"/>
            <w:vMerge w:val="restart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0.05</w:t>
            </w:r>
          </w:p>
        </w:tc>
      </w:tr>
      <w:tr>
        <w:trPr>
          <w:trHeight w:hRule="exact" w:val="284"/>
        </w:trPr>
        <w:tc>
          <w:tcPr>
            <w:tcW w:type="dxa" w:w="1803"/>
            <w:vMerge/>
            <w:tcBorders>
              <w:bottom w:sz="8.0" w:val="single" w:color="#221F1F"/>
            </w:tcBorders>
          </w:tcPr>
          <w:p/>
        </w:tc>
        <w:tc>
          <w:tcPr>
            <w:tcW w:type="dxa" w:w="1803"/>
            <w:vMerge/>
            <w:tcBorders>
              <w:bottom w:sz="8.0" w:val="single" w:color="#221F1F"/>
            </w:tcBorders>
          </w:tcPr>
          <w:p/>
        </w:tc>
        <w:tc>
          <w:tcPr>
            <w:tcW w:type="dxa" w:w="1340"/>
            <w:tcBorders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1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18"/>
              </w:rPr>
              <w:t>0.41***</w:t>
            </w:r>
          </w:p>
        </w:tc>
        <w:tc>
          <w:tcPr>
            <w:tcW w:type="dxa" w:w="1803"/>
            <w:vMerge/>
            <w:tcBorders>
              <w:bottom w:sz="8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10" w:lineRule="exact" w:before="76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6"/>
        </w:rPr>
        <w:t>Notes: Standardized coefficients are shown.</w:t>
      </w:r>
      <w:r>
        <w:rPr>
          <w:w w:val="102.4592312899503"/>
          <w:rFonts w:ascii="AdvTimes" w:hAnsi="AdvTimes" w:eastAsia="AdvTimes"/>
          <w:b w:val="0"/>
          <w:i w:val="0"/>
          <w:color w:val="221F1F"/>
          <w:sz w:val="11"/>
        </w:rPr>
        <w:t>#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0.10, 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0.05, **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0.01, ***</w:t>
      </w:r>
      <w:r>
        <w:rPr>
          <w:rFonts w:ascii="AdvTimes" w:hAnsi="AdvTimes" w:eastAsia="AdvTimes"/>
          <w:b w:val="0"/>
          <w:i w:val="0"/>
          <w:color w:val="221F1F"/>
          <w:sz w:val="16"/>
        </w:rPr>
        <w:t>p</w:t>
      </w:r>
      <w:r>
        <w:rPr>
          <w:rFonts w:ascii="AdvPi1" w:hAnsi="AdvPi1" w:eastAsia="AdvPi1"/>
          <w:b w:val="0"/>
          <w:i w:val="0"/>
          <w:color w:val="221F1F"/>
          <w:sz w:val="16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16"/>
        </w:rPr>
        <w:t xml:space="preserve"> 0.001.</w:t>
      </w:r>
    </w:p>
    <w:p>
      <w:pPr>
        <w:autoSpaceDN w:val="0"/>
        <w:autoSpaceDE w:val="0"/>
        <w:widowControl/>
        <w:spacing w:line="198" w:lineRule="exact" w:before="438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value-added regression analyses considering two measurement points only. With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regard to preschool characteristics, the findings indicate that children who attended</w:t>
      </w:r>
    </w:p>
    <w:p>
      <w:pPr>
        <w:autoSpaceDN w:val="0"/>
        <w:autoSpaceDE w:val="0"/>
        <w:widowControl/>
        <w:spacing w:line="480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larger preschool classes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0.11,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0.01) and children from Hesse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0.15)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show better progress. The process quality of the preschool setting in fostering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mathematical skills (ECERS-mathematics: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0.07,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 is also predictive for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development. This result underlines that children not only start with better skills but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also move forward faster in primary school when they attended a high quality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preschool centre before. The results for Model 2a show that the quality of instruction</w:t>
      </w:r>
    </w:p>
    <w:p>
      <w:pPr>
        <w:autoSpaceDN w:val="0"/>
        <w:autoSpaceDE w:val="0"/>
        <w:widowControl/>
        <w:spacing w:line="318" w:lineRule="exact" w:before="0" w:after="0"/>
        <w:ind w:left="18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in mathematics in the primary school class attended fails to show significant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influence on progress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4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0.05), but the effect of preschool quality remains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stable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0.08,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The same set of analyses was run using the ECERS-E total score as indicator of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the process quality of the preschool (Regression models 2a, 2b). The pattern of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20"/>
        </w:rPr>
        <w:t>results is similar to the pattern obtained for ECERS-mathematics and therefore not</w:t>
      </w:r>
    </w:p>
    <w:p>
      <w:pPr>
        <w:sectPr>
          <w:pgSz w:w="9865" w:h="14060"/>
          <w:pgMar w:top="400" w:right="1324" w:bottom="552" w:left="1328" w:header="720" w:footer="720" w:gutter="0"/>
          <w:cols w:space="720" w:num="1" w:equalWidth="0">
            <w:col w:w="7212" w:space="0"/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207</w:t>
      </w:r>
    </w:p>
    <w:p>
      <w:pPr>
        <w:autoSpaceDN w:val="0"/>
        <w:autoSpaceDE w:val="0"/>
        <w:widowControl/>
        <w:spacing w:line="294" w:lineRule="exact" w:before="184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shown in a table. While the total score of ECERS-E failed to reach statistical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significance for growth over the whole period between age 3 and age 7, we now find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significant effect for progress between age 5 and age 7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0.09,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Again,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school’s quality of instruction in mathematics has no additional predictive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value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4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0.05), and the process quality of the preschool does not loose its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predictive power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0.09,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5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Finally, we tested whether we could establish interactive effects of the qualities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the learning environments in both settings. Both interaction terms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(ECERS –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mathematics x quality of instruction in mathematics, ECERS-E x quality of instruction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mathematics)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did not have any significant influence on numeracy skills at age 7 when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controlling for attainment at age 5 and all other background, family, home learning,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and preschool characteristics (b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ECERS – mathematics x quality of instruction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mathematics: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0.03,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4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0.05;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ECERS-E x quality of instruction mathematics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: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¼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7</w:t>
      </w:r>
      <w:r>
        <w:rPr>
          <w:rFonts w:ascii="AdvTimes" w:hAnsi="AdvTimes" w:eastAsia="AdvTimes"/>
          <w:b w:val="0"/>
          <w:i w:val="0"/>
          <w:color w:val="221F1F"/>
          <w:sz w:val="20"/>
        </w:rPr>
        <w:t>0.06,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p</w:t>
      </w:r>
      <w:r>
        <w:rPr>
          <w:rFonts w:ascii="AdvPi1" w:hAnsi="AdvPi1" w:eastAsia="AdvPi1"/>
          <w:b w:val="0"/>
          <w:i w:val="0"/>
          <w:color w:val="221F1F"/>
          <w:sz w:val="20"/>
        </w:rPr>
        <w:t xml:space="preserve"> 4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0.05). Taken together, results indicate that the instructional quality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of mathematics lessons in primary schools needs more time to take a significant effect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than just 1 year. At this time, it is still the prior preschool experience having greater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influence on progress in numeracy.</w:t>
      </w:r>
    </w:p>
    <w:p>
      <w:pPr>
        <w:autoSpaceDN w:val="0"/>
        <w:autoSpaceDE w:val="0"/>
        <w:widowControl/>
        <w:spacing w:line="198" w:lineRule="exact" w:before="45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Discussion</w:t>
      </w:r>
    </w:p>
    <w:p>
      <w:pPr>
        <w:autoSpaceDN w:val="0"/>
        <w:autoSpaceDE w:val="0"/>
        <w:widowControl/>
        <w:spacing w:line="240" w:lineRule="exact" w:before="58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presented study investigated the development of numeracy skills between age 3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and 7 and provided insight into the influences of preschool characteristics and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 quality controlling for child, family background, and home learning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factors. The results show, on the one hand, that achievement differences due to social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background, family factors, and the quality of the home learning environment emerge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very early in the lives of young children. This is in line with findings of other studies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(e.g., Anders et al., 2011; ECCE Study Group, 1999; NICHD ECCRN, 2002;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Sammons et al., 2004). But, on the other hand, we see that school experiences can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make a difference. Looking at the effect of preschool characteristics over the whole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age range (age 3 to age 7), we find that structural characteristics of the class and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setting are associated with initial achievement levels of children. Classes of smaller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size, classes of higher average age, and classes with fewer children whose parents have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 different mother tongue than German show better initial numeracy skills.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Furthermore, the spatial size of the preschool setting is also associated with better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achievement. When developmental growth over the whole age range is examined,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none of these indicators has a significant influence. All the indicators that are related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initial numeracy skills are understood as quality indicators or are known to be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correlated with process quality in German preschool classes (Kuger &amp; Kluczniok,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2008). Thus, the observed associations are reflecting the current understanding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producing quality in preschool settings. However, it is striking that they do not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explain significant variance in children’s developmental growth over time. As most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children usually have already spent a couple of months in the setting when they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are tested the first time, this might point to the fact that achievement differences due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to structural quality differences show up already shortly after the children have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entered preschool. Selection bias might be an alternative explanation, and although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we controlled for child and family background factors, we cannot rule out that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possibility completely (NICHD ECCRN &amp; Duncan, 2002). The results are in line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with findings of Strand (1997, 1999), who reports significant preschool effects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initial cognitive achievements at age 4, but not on progress between age 4 and 7. His</w:t>
      </w:r>
    </w:p>
    <w:p>
      <w:pPr>
        <w:sectPr>
          <w:pgSz w:w="9865" w:h="14060"/>
          <w:pgMar w:top="398" w:right="1322" w:bottom="552" w:left="1346" w:header="720" w:footer="720" w:gutter="0"/>
          <w:cols w:space="720" w:num="1" w:equalWidth="0">
            <w:col w:w="7196" w:space="0"/>
            <w:col w:w="7212" w:space="0"/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208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autoSpaceDE w:val="0"/>
        <w:widowControl/>
        <w:spacing w:line="240" w:lineRule="exact" w:before="240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analyses are based on large samples of English children. When we turn to the effect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preschools’ process quality, the study documented clearly that effects of preschools’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process quality in fostering academic skills, especially mathematics, persist until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end of the first grade of primary school (age 7), regardless of the level of cognitive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activation in the mathematics lessons at the primary school attended. Our results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underpin the argument that beneficial effects of high quality preschool experience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may persist for a while, regardless of the primary school context (e.g., Gorey, 2001,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Sammons et al., 2008). The number of preschool centres that provide high quality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terms of fostering children’s academic skills is relatively small in Germany (Kuger &amp;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Kluczniok, 2008). Due to this fact, the variance of preschool quality in the sample is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naturally reduced, and it is very likely that the impact of preschool quality 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children’s development is even underestimated (see Anders et al., 2012, for a detailed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discussion of the association between variance and predictive power).</w:t>
      </w:r>
    </w:p>
    <w:p>
      <w:pPr>
        <w:autoSpaceDN w:val="0"/>
        <w:autoSpaceDE w:val="0"/>
        <w:widowControl/>
        <w:spacing w:line="238" w:lineRule="exact" w:before="2" w:after="20"/>
        <w:ind w:left="18" w:right="20" w:firstLine="298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Focusing on the further development when children have moved to primary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school (age 5 to age 7), findings show that the quality of HLE while children were in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preschool has an effect on the development of numeracy skills. The quality of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early years HLE is most likely to be correlated with parental support during the first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grade of primary school. Furthermore, studies conducted in other countries were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also able to establish long-lasting effects of the quality of the early years HLE (e.g.,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Melhuish, 2010). With regard to effects of preschool characteristics, we find that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who were cared for in larger classes make better progress in the 1st year of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primary school. One possible explanation is that children who attended relatively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larger classes in preschool are already used to the larger group contexts they have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be accustomed to in primary school. When we look at the interactive effects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>
        <w:trPr>
          <w:trHeight w:hRule="exact" w:val="24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preschool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quality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primary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school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quality,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results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point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221F1F"/>
                <w:sz w:val="20"/>
              </w:rPr>
              <w:t>interesting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conclusions. First, preschool quality in terms of fostering children’s academic skills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does not only give children a better start to school but also seems to give them 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boost for better progress in their numeracy skills. Second, the level of cognitive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activation of mathematics instruction has no significant additional effect on progress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and in the 1st year of primary school. It cannot compensate for the effects of low-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quality preschool experience. But one also has to take into account that the outcome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measure is not based on the curriculum in mathematics first grade, though measuring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an important aspect of mathematical competence. Other studies have also shown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that the relationship between classroom context and cognitive progress seems to be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complex (e.g., Curby, Rimm-Kaufman, &amp; Ponitz, 2009; Pianta et al., 2008), and it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might be necessary to consider additional factors like emotional support to show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differential effects. We also assume that effects of instructional quality will increase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the longer the children are exposed to it. They might be evident when children move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further through primary school, although we did not find them in this study when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children have spent only a couple of months in primary school.</w:t>
      </w:r>
    </w:p>
    <w:p>
      <w:pPr>
        <w:autoSpaceDN w:val="0"/>
        <w:autoSpaceDE w:val="0"/>
        <w:widowControl/>
        <w:spacing w:line="200" w:lineRule="exact" w:before="458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Implications, limitations, and future research</w:t>
      </w:r>
    </w:p>
    <w:p>
      <w:pPr>
        <w:autoSpaceDN w:val="0"/>
        <w:autoSpaceDE w:val="0"/>
        <w:widowControl/>
        <w:spacing w:line="238" w:lineRule="exact" w:before="62" w:after="0"/>
        <w:ind w:left="18" w:right="20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>The study has provided evidence for the potential of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high-quality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early education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programs to foster numeracy skills in Germany. Recent policy changes in Germany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seem to point in the right direction, and the study underlines that it is important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invest in high quality preschool settings.</w:t>
      </w:r>
    </w:p>
    <w:p>
      <w:pPr>
        <w:autoSpaceDN w:val="0"/>
        <w:autoSpaceDE w:val="0"/>
        <w:widowControl/>
        <w:spacing w:line="238" w:lineRule="exact" w:before="2" w:after="0"/>
        <w:ind w:left="18" w:right="0" w:firstLine="298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But the possible conclusions of BiKS 3–10 are limited by the fact that data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collection started at age 3 and not earlier (at birth). Furthermore, no control group</w:t>
      </w:r>
    </w:p>
    <w:p>
      <w:pPr>
        <w:sectPr>
          <w:pgSz w:w="9865" w:h="14060"/>
          <w:pgMar w:top="398" w:right="1326" w:bottom="552" w:left="1328" w:header="720" w:footer="720" w:gutter="0"/>
          <w:cols w:space="720" w:num="1" w:equalWidth="0">
            <w:col w:w="7210" w:space="0"/>
            <w:col w:w="7196" w:space="0"/>
            <w:col w:w="7212" w:space="0"/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209</w:t>
      </w:r>
    </w:p>
    <w:p>
      <w:pPr>
        <w:autoSpaceDN w:val="0"/>
        <w:autoSpaceDE w:val="0"/>
        <w:widowControl/>
        <w:spacing w:line="238" w:lineRule="exact" w:before="240" w:after="0"/>
        <w:ind w:left="0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without preschool experience is available. We are aware that due to these facts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design does not allow for any conclusions regarding the effect of preschool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experience compared to no preschool experience, and it will also not be possible to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rule out the possibility of selection bias completely. While this paper focused on the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development of numeracy skills, the findings of Ebert and colleagues on vocabulary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development in this special issue highlight that it is not possible to generalize to other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cognitive domains and that differential effects for certain groups of children (e.g., 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children with migration background) deserve more attention. In addition, we will </w:t>
      </w:r>
      <w:r>
        <w:rPr>
          <w:rFonts w:ascii="AdvTimes" w:hAnsi="AdvTimes" w:eastAsia="AdvTimes"/>
          <w:b w:val="0"/>
          <w:i w:val="0"/>
          <w:color w:val="221F1F"/>
          <w:sz w:val="20"/>
        </w:rPr>
        <w:t>investigate possible influencing factors at primary school age in more detail.</w:t>
      </w:r>
    </w:p>
    <w:p>
      <w:pPr>
        <w:autoSpaceDN w:val="0"/>
        <w:autoSpaceDE w:val="0"/>
        <w:widowControl/>
        <w:spacing w:line="198" w:lineRule="exact" w:before="28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Notes</w:t>
      </w:r>
    </w:p>
    <w:p>
      <w:pPr>
        <w:autoSpaceDN w:val="0"/>
        <w:tabs>
          <w:tab w:pos="318" w:val="left"/>
        </w:tabs>
        <w:autoSpaceDE w:val="0"/>
        <w:widowControl/>
        <w:spacing w:line="200" w:lineRule="exact" w:before="5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1.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study is conducted within two subprojects (grant to S. Weinert and H.-G. Rossbach)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of the larger interdisciplinary research group BiKS, funded by the German Research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Foundation. We would like to thank all participating children, their parents, and their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preschool teachers, as well as all students engaged in data collection for their most active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cooperation.</w:t>
      </w:r>
    </w:p>
    <w:p>
      <w:pPr>
        <w:autoSpaceDN w:val="0"/>
        <w:tabs>
          <w:tab w:pos="31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2.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Please note that this number is not equivalent to the class size as preschool classes usually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were mixed-age groups, and therefore primary school enrolment was not due in 2008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(inclusion criterion) for all the children of one class.</w:t>
      </w:r>
    </w:p>
    <w:p>
      <w:pPr>
        <w:autoSpaceDN w:val="0"/>
        <w:tabs>
          <w:tab w:pos="318" w:val="left"/>
        </w:tabs>
        <w:autoSpaceDE w:val="0"/>
        <w:widowControl/>
        <w:spacing w:line="180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3.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Please note that the potential effects of clustering in all these analyses are generally low.</w:t>
      </w:r>
    </w:p>
    <w:p>
      <w:pPr>
        <w:autoSpaceDN w:val="0"/>
        <w:autoSpaceDE w:val="0"/>
        <w:widowControl/>
        <w:spacing w:line="198" w:lineRule="exact" w:before="0" w:after="0"/>
        <w:ind w:left="318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pattern of results remains the same if standard errors adjusted for the clustering by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preschool classes or primary school classes are used. The pattern of results remains also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stable if standard errors not adjusted for the multilevel structure are estimated.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shown descriptives for preschool measures are slightly different to those reported in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4.</w:t>
      </w:r>
    </w:p>
    <w:p>
      <w:pPr>
        <w:autoSpaceDN w:val="0"/>
        <w:autoSpaceDE w:val="0"/>
        <w:widowControl/>
        <w:spacing w:line="200" w:lineRule="exact" w:before="0" w:after="0"/>
        <w:ind w:left="318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paper of Anders and colleagues (2012). This is due to the fact that for the present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analyses one further measurement point of preschool indicators could be included in the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analyses.</w:t>
      </w:r>
    </w:p>
    <w:p>
      <w:pPr>
        <w:autoSpaceDN w:val="0"/>
        <w:autoSpaceDE w:val="0"/>
        <w:widowControl/>
        <w:spacing w:line="198" w:lineRule="exact" w:before="60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20"/>
        </w:rPr>
        <w:t>References</w:t>
      </w:r>
    </w:p>
    <w:p>
      <w:pPr>
        <w:autoSpaceDN w:val="0"/>
        <w:autoSpaceDE w:val="0"/>
        <w:widowControl/>
        <w:spacing w:line="180" w:lineRule="exact" w:before="7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Anders, Y., Rossbach, H.-G., Weinert, S., Ebert, S., Kuger, S., Lehrl, S., &amp; von Maurice, J.</w:t>
      </w:r>
    </w:p>
    <w:p>
      <w:pPr>
        <w:autoSpaceDN w:val="0"/>
        <w:autoSpaceDE w:val="0"/>
        <w:widowControl/>
        <w:spacing w:line="198" w:lineRule="exact" w:before="2" w:after="0"/>
        <w:ind w:left="29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(2012). Home and preschool learning environments and their relations to the development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of early numeracy skills.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Early Childhood Research Quarterly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27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231–244.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Anders, Y., Sammons, P., Taggart, B., Sylva, K., Melhuish, E., &amp; Siraj-Blatchford, I. (2011).</w:t>
      </w:r>
    </w:p>
    <w:p>
      <w:pPr>
        <w:autoSpaceDN w:val="0"/>
        <w:autoSpaceDE w:val="0"/>
        <w:widowControl/>
        <w:spacing w:line="200" w:lineRule="exact" w:before="0" w:after="0"/>
        <w:ind w:left="0" w:right="24" w:firstLine="0"/>
        <w:jc w:val="righ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influence of child, family home factors and pre-school education on the identification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of special educational needs at age 10.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British Educational 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37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421–441.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Arbuckle, J. L. (1996). Full information estimation in the presence of incomplete data. In G.</w:t>
      </w:r>
    </w:p>
    <w:p>
      <w:pPr>
        <w:autoSpaceDN w:val="0"/>
        <w:autoSpaceDE w:val="0"/>
        <w:widowControl/>
        <w:spacing w:line="198" w:lineRule="exact" w:before="2" w:after="0"/>
        <w:ind w:left="29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A. Marcoulides &amp; R. E. Schumacker (Eds.),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Advanced structural equation modeling: Issues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and Techniques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(pp. 243–277). Mahwah, NJ: Lawrence Erlbaum Associates.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Baumert, J., Kunter, M., Blum, W., Brunner, M., Voss, T., Jordan, A., . . .Tsai, Y.-M. (2010).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Teachers’ mathematical knowledge, cognitive activation in the classroom, and student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progress.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American Educational 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47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133–180. doi:10.3102/000283120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9345157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Caldwell, B. M., &amp; Bradley, R. H. (1984).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Home Observation for Measurement of the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Environment (HOME)</w:t>
      </w:r>
      <w:r>
        <w:rPr>
          <w:rFonts w:ascii="AdvTimes" w:hAnsi="AdvTimes" w:eastAsia="AdvTimes"/>
          <w:b w:val="0"/>
          <w:i w:val="0"/>
          <w:color w:val="221F1F"/>
          <w:sz w:val="18"/>
        </w:rPr>
        <w:t>. Little Rock, AR: University of Arkansas at Little Rock.</w:t>
      </w:r>
    </w:p>
    <w:p>
      <w:pPr>
        <w:autoSpaceDN w:val="0"/>
        <w:tabs>
          <w:tab w:pos="298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Cox, T. (2000).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Combating educational disadvantage. Meeting the needs of vulnerable children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London, UK: Routledge.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Curby, T. W., Rimm-Kaufman, S. E., &amp; Ponitz, C. C. (2009). Teacher-child interactions and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children’s achievement trajectories across kindergarten and first grade.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Journal of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Educational Psychology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101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912–925. doi:10.1037/a0016647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Dubowy, M., Ebert, S., von Maurice, J., &amp; Weinert, S. (2008). Sprachlich-kognitive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Kompetenzen beim Eintritt in den Kindergarten: Ein Vergleich von Kindern mit und ohne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Migrationshintergrund [Linguistic-cognitive competencies at entry to preschool: A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comparison of children with and without migration background].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Zeitschrift fu¨r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Entwicklungspsychologie und Pa¨dagogische Psychologie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40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124–134.</w:t>
      </w:r>
    </w:p>
    <w:p>
      <w:pPr>
        <w:sectPr>
          <w:pgSz w:w="9865" w:h="14060"/>
          <w:pgMar w:top="398" w:right="1322" w:bottom="552" w:left="1346" w:header="720" w:footer="720" w:gutter="0"/>
          <w:cols w:space="720" w:num="1" w:equalWidth="0">
            <w:col w:w="7196" w:space="0"/>
            <w:col w:w="7210" w:space="0"/>
            <w:col w:w="7196" w:space="0"/>
            <w:col w:w="7212" w:space="0"/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210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20"/>
        </w:rPr>
        <w:t>Y. Anders</w:t>
      </w:r>
      <w:r>
        <w:rPr>
          <w:rFonts w:ascii="AdvTimes" w:hAnsi="AdvTimes" w:eastAsia="AdvTimes"/>
          <w:b w:val="0"/>
          <w:i w:val="0"/>
          <w:color w:val="221F1F"/>
          <w:sz w:val="20"/>
        </w:rPr>
        <w:t xml:space="preserve"> et al.</w:t>
      </w:r>
    </w:p>
    <w:p>
      <w:pPr>
        <w:autoSpaceDN w:val="0"/>
        <w:autoSpaceDE w:val="0"/>
        <w:widowControl/>
        <w:spacing w:line="200" w:lineRule="exact" w:before="234" w:after="0"/>
        <w:ind w:left="316" w:right="22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>European Child Care and Education (ECCE)-Study Group. (1999).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School-age assessment of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child development: Long-term impact of pre-school experiences on school success, and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family-school relationships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. Retrieved from </w:t>
      </w:r>
      <w:r>
        <w:rPr>
          <w:rFonts w:ascii="AdvTimes" w:hAnsi="AdvTimes" w:eastAsia="AdvTimes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 xml:space="preserve">http://www.uni-bamberg.de/fileadmin/uni/ </w:t>
          </w:r>
        </w:hyperlink>
      </w:r>
      <w:r>
        <w:rPr>
          <w:rFonts w:ascii="AdvTimes" w:hAnsi="AdvTimes" w:eastAsia="AdvTimes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>fakultaeten/ppp_lehrstuehle/elementarpaedagogik/Team/Rossbach/Ecce_Study_Group.</w:t>
          </w:r>
        </w:hyperlink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0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 xml:space="preserve">pdf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Ganzeboom, H. B. G., De Graaf, P. M., &amp; Treiman, D. J. (1992). A standard international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socio-economic index of occupational status.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Social Science Research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21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1–56.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doi:10.1016/0049-089X(92)90017-B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Gorey, K. M. (2001). Early childhood education: A meta-analytic affirmation of the short-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and long-term benefits of educational opportunity.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School Psychology Quarterly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16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9–30.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2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doi:10.1521/scpq.16.1.9.19163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Harms, T., Clifford, R. M., &amp; Cryer, D. (1998).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Early childhood environment rating scale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(Rev.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ed.). New York, NY: Teachers College Press.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2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Hart, B., &amp; Risley, R. T. (1995).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Meaningful differences in the everyday experience of young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American children</w:t>
      </w:r>
      <w:r>
        <w:rPr>
          <w:rFonts w:ascii="AdvTimes" w:hAnsi="AdvTimes" w:eastAsia="AdvTimes"/>
          <w:b w:val="0"/>
          <w:i w:val="0"/>
          <w:color w:val="221F1F"/>
          <w:sz w:val="18"/>
        </w:rPr>
        <w:t>. Baltimore, MD: Paul H. Brookes.</w:t>
      </w:r>
    </w:p>
    <w:p>
      <w:pPr>
        <w:autoSpaceDN w:val="0"/>
        <w:autoSpaceDE w:val="0"/>
        <w:widowControl/>
        <w:spacing w:line="198" w:lineRule="exact" w:before="2" w:after="0"/>
        <w:ind w:left="316" w:right="0" w:hanging="298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Hu, L., &amp; Bentler P. M. (1999). Cutoff criteria for fit indexes in covariance structure analysis: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Conventional criteria versus new alternatives.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Structural Equation Modeling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6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1–55.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doi:10.1080/10705519909540118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Klieme, E., Pauli, C., &amp; Reusser, K. (2009). The pythagoras study: Investigating effects of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teaching and learning in Swiss and German mathematics classrooms. In T. Janik &amp; T.</w:t>
      </w:r>
    </w:p>
    <w:p>
      <w:pPr>
        <w:autoSpaceDN w:val="0"/>
        <w:autoSpaceDE w:val="0"/>
        <w:widowControl/>
        <w:spacing w:line="202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Seidel (Eds.),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The power of video studies in investigating teaching and learning in the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classroom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(pp. 137–160). Mu¨ nster, Germany: Waxmann.</w:t>
      </w:r>
    </w:p>
    <w:p>
      <w:pPr>
        <w:autoSpaceDN w:val="0"/>
        <w:autoSpaceDE w:val="0"/>
        <w:widowControl/>
        <w:spacing w:line="198" w:lineRule="exact" w:before="0" w:after="0"/>
        <w:ind w:left="316" w:right="22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Kuger, S., &amp; Kluczniok, K. (2008). Prozessqualita¨ t im Kindergarten. Konzept, Umsetzung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und Befunde [Process quality in preschools – concepts, implementations and findings].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Zeitschrift fu¨r Erziehungswissenschaft, Special Edition 11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159–178.</w:t>
      </w:r>
    </w:p>
    <w:p>
      <w:pPr>
        <w:autoSpaceDN w:val="0"/>
        <w:autoSpaceDE w:val="0"/>
        <w:widowControl/>
        <w:spacing w:line="198" w:lineRule="exact" w:before="0" w:after="0"/>
        <w:ind w:left="316" w:right="22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>Kuger, S., Pflieger, K., &amp; Rossbach, H.-G. (2005).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Familieneinscha¨tzskala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[Family Rating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Scale] (Forschungsversion). Unpublished document (available at University of Bamberg),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BiKS-Forschergruppe, Otto-Friedrich-Universita¨ t Bamberg, Bamberg, Germany.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Magnuson, K. A. &amp; Ruhm, C., &amp; Waldfogel, J. (2007). Does prekindergarten improve school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preparation and performance?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Economics of Education Review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26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33–51.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Melchers, P., &amp; Preuss, U. (2003).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Kaufman – Assessment Battery for Children (K-ABC).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German version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(6th ed.). Go¨ ttingen, Germany: Hogrefe.</w:t>
      </w:r>
    </w:p>
    <w:p>
      <w:pPr>
        <w:autoSpaceDN w:val="0"/>
        <w:autoSpaceDE w:val="0"/>
        <w:widowControl/>
        <w:spacing w:line="180" w:lineRule="exact" w:before="1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Melhuish, E. (2010). Why children, parents and home learning are important. In K. Sylva, E.</w:t>
      </w:r>
    </w:p>
    <w:p>
      <w:pPr>
        <w:autoSpaceDN w:val="0"/>
        <w:autoSpaceDE w:val="0"/>
        <w:widowControl/>
        <w:spacing w:line="198" w:lineRule="exact" w:before="0" w:after="0"/>
        <w:ind w:left="316" w:right="22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>Melhuish, P. Sammons, I. Siraj-Blatchford, &amp; B. Taggart (Eds.),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Early childhood matters: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Evidence from the Effective Pre-school and Primary Education Project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(pp. 44–69). London,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UK: Routledge.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Melhuish, E., Sylva, K., Sammons, P., Siraj-Blatchford, I., Taggart, B., &amp; Phan, M. (2008).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Effects of Home Learning Environment and preschool center experience upon literacy and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numeracy in early primary school.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Journal of Social Issues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64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95–114. doi:10.1111/j.1540-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4560.2008.00550.x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Muthe´ n, L. K., &amp; Muthe´ n, B. O. (2008).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Mplus user’s guide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(5th ed). Los Angeles, CA: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Authors.</w:t>
      </w:r>
    </w:p>
    <w:p>
      <w:pPr>
        <w:autoSpaceDN w:val="0"/>
        <w:autoSpaceDE w:val="0"/>
        <w:widowControl/>
        <w:spacing w:line="198" w:lineRule="exact" w:before="2" w:after="0"/>
        <w:ind w:left="316" w:right="22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NICHD Early Child Care Research Network. (2002). Early child care and children’s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development prior to school entry. Results from the NICHD Study of early child care.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American Educational 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39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133–164.</w:t>
      </w:r>
    </w:p>
    <w:p>
      <w:pPr>
        <w:autoSpaceDN w:val="0"/>
        <w:autoSpaceDE w:val="0"/>
        <w:widowControl/>
        <w:spacing w:line="198" w:lineRule="exact" w:before="2" w:after="0"/>
        <w:ind w:left="316" w:right="0" w:hanging="298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NICHD Early Child Care Research Network. (2006). Child-care effect sizes for the NICHD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Study of Early Child Care and Youth Development.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American Psychologist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61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99–116.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doi:10.1037/0003-066X.61.2.99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NICHD Early Child Care Research Network, &amp; Duncan, G.J. (2003). Modeling the impacts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of child care quality on children’s preschool cognitive development.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Child Development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74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1454–1475.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Peisner-Feinberg, E. S., Burchinal, M. R., Clifford, R. M., Culkin, M. L., Howes, C., Kagan,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S. L., &amp; Yazejian, N. (2001). The relation of preschool child-care quality to children’s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cognitive and social developmental trajectories through second grade.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Child Development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72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1534–1553. doi:10.1111/1467-8624.00364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Pianta, R. C., Belsky, J., Vandergrift, N., Houts, R., &amp; Morrison, F. J. (2008). Classroom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effects on children’s achievement trajectories in elementary school.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American Educational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45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365–397. doi:10.3102/0002831207308230</w:t>
      </w:r>
    </w:p>
    <w:p>
      <w:pPr>
        <w:sectPr>
          <w:pgSz w:w="9865" w:h="14060"/>
          <w:pgMar w:top="398" w:right="1324" w:bottom="634" w:left="1328" w:header="720" w:footer="720" w:gutter="0"/>
          <w:cols w:space="720" w:num="1" w:equalWidth="0"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095" w:space="0"/>
            <w:col w:w="7196" w:space="0"/>
            <w:col w:w="7212" w:space="0"/>
            <w:col w:w="7196" w:space="0"/>
            <w:col w:w="7210" w:space="0"/>
            <w:col w:w="7196" w:space="0"/>
            <w:col w:w="7212" w:space="0"/>
            <w:col w:w="7196" w:space="0"/>
            <w:col w:w="7210" w:space="0"/>
            <w:col w:w="7194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198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School Effectiveness and School Improvement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211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23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Pianta, R. C., &amp; Hamre, B. K. (2009). Conceptualization, measurement, and improvement of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classroom processes: Standardized observation can leverage capacity.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Educational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Researcher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38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109–119. doi:10.3102/0013189X09332374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Rossbach, H.-G. (2002). Unterrichtsqualita¨ t in Grundschulklassen und ihre Auswirkungen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auf Schu¨ ler [Instructional quality in primary school classes and its effects on students]. In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H. Petillon (Ed.),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Individuelles und soziales Lernen in der Grundschule – Kindperspektive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und pa¨dagogische Konzepte. Jahrbuch Grundschulforschung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(Vol. 5, pp. 217–222). Opladen,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Germany: Leske and Budrich.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Sammons, P., Anders, Y., Sylva, K., Melhuish, E., Siraj-Blatchford, I., Taggart, B., &amp;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Barreau, S. (2008). Children’s cognitive attainment and progress in English primary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schools during Key Stage 2. Investigating the potential continuing influencesof pre-school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education.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Zeitschrift fu¨r Erziehungswissenschaft, Special Edition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11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179–198. doi: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10.1007/978-3-531-91452-7_12 </w:t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Sammons, P., Elliot, K., Sylva, K., Melhuish, E., Siraj-Blatchford, I., &amp; Taggart, B. (2004).</w:t>
      </w:r>
    </w:p>
    <w:p>
      <w:pPr>
        <w:autoSpaceDN w:val="0"/>
        <w:autoSpaceDE w:val="0"/>
        <w:widowControl/>
        <w:spacing w:line="178" w:lineRule="exact" w:before="20" w:after="0"/>
        <w:ind w:left="298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The impact of pre-school on young children’s cognitive attainments at entry to reception.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British Educational 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30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, 691–712. doi:10.1080/0141192042000234656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Schmidt, S., Schmitt, M., &amp; Smidt, W. (2009).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Die BiKS-Studie. Methodenbericht zur zweiten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Projektphase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[The BiKS study: Report about methods – 2nd project phase]. Retrieved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from </w:t>
      </w:r>
      <w:r>
        <w:rPr>
          <w:rFonts w:ascii="AdvTimes" w:hAnsi="AdvTimes" w:eastAsia="AdvTimes"/>
          <w:b w:val="0"/>
          <w:i w:val="0"/>
          <w:color w:val="221F1F"/>
          <w:sz w:val="18"/>
        </w:rPr>
        <w:hyperlink r:id="rId28" w:history="1">
          <w:r>
            <w:rPr>
              <w:rStyle w:val="Hyperlink"/>
            </w:rPr>
            <w:t xml:space="preserve">http://psydok.sulb.uni-saarland.de/volltexte/2009/2534/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221F1F"/>
          <w:sz w:val="18"/>
        </w:rPr>
        <w:t>Snow, C., &amp; Van Hemel, S. (2008).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Early childhood assessment: Why, what and how? Report of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the Committee on Developmental Outcomes and Assessments for Young Children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Washington, DC: National Academies Press.</w:t>
      </w:r>
    </w:p>
    <w:p>
      <w:pPr>
        <w:autoSpaceDN w:val="0"/>
        <w:autoSpaceDE w:val="0"/>
        <w:widowControl/>
        <w:spacing w:line="196" w:lineRule="exact" w:before="6" w:after="0"/>
        <w:ind w:left="298" w:right="24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>Steinweg, A. S. (2009).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Dimensionen zur Einscha¨tzung pa¨dagogisch-didaktischer Qualita¨t von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Lernsituationen in Mathematik. Schulungsunterlagen. Unvero¨ffentlichte Forschungsversion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[Dimensions of rating pedagogical quality of learning situations in mathematics].</w:t>
      </w:r>
    </w:p>
    <w:p>
      <w:pPr>
        <w:autoSpaceDN w:val="0"/>
        <w:autoSpaceDE w:val="0"/>
        <w:widowControl/>
        <w:spacing w:line="198" w:lineRule="exact" w:before="6" w:after="0"/>
        <w:ind w:left="0" w:right="24" w:firstLine="0"/>
        <w:jc w:val="righ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Unpublished training material, Otto-Friedrich-Universita¨ t Bamberg, Bamberg, Germany.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Strand, S. (1995).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Wandsworth Baseline assessment 1994/1995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. London, UK: Wandsworth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Education Department.</w:t>
      </w:r>
    </w:p>
    <w:p>
      <w:pPr>
        <w:autoSpaceDN w:val="0"/>
        <w:tabs>
          <w:tab w:pos="29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Strand, S. (1997). Pupil progress during Key Stage 1: A value added analysis of school effects.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British Educational Research Journal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23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471–487.</w:t>
      </w:r>
    </w:p>
    <w:p>
      <w:pPr>
        <w:autoSpaceDN w:val="0"/>
        <w:tabs>
          <w:tab w:pos="29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Strand, S. (1999). Baseline assessments results at age 4: Associations with pupil background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factors.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Journal of Research in Reading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22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14–26.</w:t>
      </w:r>
    </w:p>
    <w:p>
      <w:pPr>
        <w:autoSpaceDN w:val="0"/>
        <w:tabs>
          <w:tab w:pos="29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221F1F"/>
          <w:sz w:val="18"/>
        </w:rPr>
        <w:t>Sylva, K., Siraj-Blatchford, I., &amp; Taggart, B. (2003).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Assessing quality in the Early Childhood </w:t>
      </w:r>
      <w:r>
        <w:tab/>
      </w:r>
      <w:r>
        <w:rPr>
          <w:rFonts w:ascii="AdvTimes" w:hAnsi="AdvTimes" w:eastAsia="AdvTimes"/>
          <w:b w:val="0"/>
          <w:i w:val="0"/>
          <w:color w:val="221F1F"/>
          <w:sz w:val="18"/>
        </w:rPr>
        <w:t>Rating Scale Extensions (ECERS-E)</w:t>
      </w:r>
      <w:r>
        <w:rPr>
          <w:rFonts w:ascii="AdvTimes" w:hAnsi="AdvTimes" w:eastAsia="AdvTimes"/>
          <w:b w:val="0"/>
          <w:i w:val="0"/>
          <w:color w:val="221F1F"/>
          <w:sz w:val="18"/>
        </w:rPr>
        <w:t>. Stoke On Trent, UK: Trentham Books.</w:t>
      </w:r>
    </w:p>
    <w:p>
      <w:pPr>
        <w:autoSpaceDN w:val="0"/>
        <w:autoSpaceDE w:val="0"/>
        <w:widowControl/>
        <w:spacing w:line="198" w:lineRule="exact" w:before="6" w:after="0"/>
        <w:ind w:left="298" w:right="24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>Tietze, W., Rossbach, H.-G., &amp; Grenner, K. (2005).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Kinder von 4 bis 8 Jahren. Zur Qualita¨t der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Erziehung und Bildung in Kindergarten, Grundschule und Familie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[Children from age 4 to 8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years. Speaking about the quality of the educational settings preschool, primary school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and family]. Weinheim, Germany: Beltz.</w:t>
      </w:r>
    </w:p>
    <w:p>
      <w:pPr>
        <w:autoSpaceDN w:val="0"/>
        <w:autoSpaceDE w:val="0"/>
        <w:widowControl/>
        <w:spacing w:line="200" w:lineRule="exact" w:before="0" w:after="0"/>
        <w:ind w:left="298" w:right="24" w:hanging="298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Tymms, P. B., Merrell, C., &amp; Henderson, B. (1997). The first year at school: A quantitative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investigation of the attainment and progress of pupils.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Educational Research and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Evaluation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3</w:t>
      </w:r>
      <w:r>
        <w:rPr>
          <w:rFonts w:ascii="AdvTimes" w:hAnsi="AdvTimes" w:eastAsia="AdvTimes"/>
          <w:b w:val="0"/>
          <w:i w:val="0"/>
          <w:color w:val="221F1F"/>
          <w:sz w:val="18"/>
        </w:rPr>
        <w:t>, 101–118.</w:t>
      </w:r>
    </w:p>
    <w:p>
      <w:pPr>
        <w:autoSpaceDN w:val="0"/>
        <w:autoSpaceDE w:val="0"/>
        <w:widowControl/>
        <w:spacing w:line="178" w:lineRule="exact" w:before="2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221F1F"/>
          <w:sz w:val="18"/>
        </w:rPr>
        <w:t>von Maurice, J., Artelt, C., Blossfeld, H.-P., Faust, G., Rossbach, H.-G., &amp; Weinert, S. (2007).</w:t>
      </w:r>
    </w:p>
    <w:p>
      <w:pPr>
        <w:autoSpaceDN w:val="0"/>
        <w:autoSpaceDE w:val="0"/>
        <w:widowControl/>
        <w:spacing w:line="200" w:lineRule="exact" w:before="0" w:after="0"/>
        <w:ind w:left="298" w:right="24" w:firstLine="0"/>
        <w:jc w:val="both"/>
      </w:pP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Bildungsprozesse, Kompetenzentwicklung und Formation von Selektionsentscheidungen im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Vor- und Grundschulalter. U</w:t>
      </w:r>
      <w:r>
        <w:rPr>
          <w:rFonts w:ascii="AdvTimes" w:hAnsi="AdvTimes" w:eastAsia="AdvTimes"/>
          <w:b w:val="0"/>
          <w:i w:val="0"/>
          <w:color w:val="221F1F"/>
          <w:sz w:val="18"/>
        </w:rPr>
        <w:t>¨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berblick u¨ber die Erhebung in den La¨ngsschnitten BiKS-3-8 und </w:t>
      </w:r>
      <w:r>
        <w:rPr>
          <w:rFonts w:ascii="AdvTimes" w:hAnsi="AdvTimes" w:eastAsia="AdvTimes"/>
          <w:b w:val="0"/>
          <w:i w:val="0"/>
          <w:color w:val="221F1F"/>
          <w:sz w:val="18"/>
        </w:rPr>
        <w:t>BiKS-8-12 in den ersten beiden Projektjahren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 [Educational processes, competence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development and selection decisions at pre- and primary school age: Overview of the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data collection in the longitudinal studies BiKS-3-8 and BiKS-8-12 in the first two years of </w:t>
      </w:r>
      <w:r>
        <w:rPr>
          <w:rFonts w:ascii="AdvTimes" w:hAnsi="AdvTimes" w:eastAsia="AdvTimes"/>
          <w:b w:val="0"/>
          <w:i w:val="0"/>
          <w:color w:val="221F1F"/>
          <w:sz w:val="18"/>
        </w:rPr>
        <w:t xml:space="preserve">the study]. Retrieved from </w:t>
      </w:r>
      <w:r>
        <w:rPr>
          <w:rFonts w:ascii="AdvTimes" w:hAnsi="AdvTimes" w:eastAsia="AdvTimes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>http://psydok.sulb.uni-saarland.de/volltexte/2007/1008</w:t>
          </w:r>
        </w:hyperlink>
      </w:r>
    </w:p>
    <w:sectPr w:rsidR="00FC693F" w:rsidRPr="0006063C" w:rsidSect="00034616">
      <w:pgSz w:w="9865" w:h="14060"/>
      <w:pgMar w:top="398" w:right="1322" w:bottom="1440" w:left="1346" w:header="720" w:footer="720" w:gutter="0"/>
      <w:cols w:space="720" w:num="1" w:equalWidth="0">
        <w:col w:w="7196" w:space="0"/>
        <w:col w:w="7212" w:space="0"/>
        <w:col w:w="7196" w:space="0"/>
        <w:col w:w="7210" w:space="0"/>
        <w:col w:w="7196" w:space="0"/>
        <w:col w:w="7212" w:space="0"/>
        <w:col w:w="7196" w:space="0"/>
        <w:col w:w="7095" w:space="0"/>
        <w:col w:w="7196" w:space="0"/>
        <w:col w:w="7212" w:space="0"/>
        <w:col w:w="7196" w:space="0"/>
        <w:col w:w="7210" w:space="0"/>
        <w:col w:w="7196" w:space="0"/>
        <w:col w:w="7212" w:space="0"/>
        <w:col w:w="7196" w:space="0"/>
        <w:col w:w="7210" w:space="0"/>
        <w:col w:w="7194" w:space="0"/>
        <w:col w:w="11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tandfonline.com/loi/nses20" TargetMode="External"/><Relationship Id="rId12" Type="http://schemas.openxmlformats.org/officeDocument/2006/relationships/hyperlink" Target="https://www.tandfonline.com/action/showCitFormats?doi=10.1080/09243453.2012.749794" TargetMode="External"/><Relationship Id="rId13" Type="http://schemas.openxmlformats.org/officeDocument/2006/relationships/hyperlink" Target="https://doi.org/10.1080/09243453.2012.749794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andfonline.com/action/authorSubmission?journalCode=nses20&amp;show=instructions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s://www.tandfonline.com/doi/mlt/10.1080/09243453.2012.749794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www.tandfonline.com/doi/citedby/10.1080/09243453.2012.749794#tabModule" TargetMode="External"/><Relationship Id="rId23" Type="http://schemas.openxmlformats.org/officeDocument/2006/relationships/hyperlink" Target="https://www.tandfonline.com/action/journalInformation?journalCode=nses20" TargetMode="Externa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yperlink" Target="http://www.uni-bamberg.de/fileadmin/uni/fakultaeten/ppp_lehrstuehle/elementarpaedagogik/Team/Rossbach/Ecce_Study_Group.pdf" TargetMode="External"/><Relationship Id="rId28" Type="http://schemas.openxmlformats.org/officeDocument/2006/relationships/hyperlink" Target="http://psydok.sulb.uni-saarland.de/volltexte/2009/2534/" TargetMode="External"/><Relationship Id="rId29" Type="http://schemas.openxmlformats.org/officeDocument/2006/relationships/hyperlink" Target="http://psydok.sulb.uni-saarland.de/volltexte/2007/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