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511"/>
        <w:gridCol w:w="3511"/>
        <w:gridCol w:w="3511"/>
      </w:tblGrid>
      <w:tr>
        <w:trPr>
          <w:trHeight w:hRule="exact" w:val="780"/>
        </w:trPr>
        <w:tc>
          <w:tcPr>
            <w:tcW w:type="dxa" w:w="72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1800" cy="44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186" w:after="0"/>
              <w:ind w:left="4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3B688C"/>
                <w:sz w:val="34"/>
              </w:rPr>
              <w:t>sustainability</w:t>
            </w:r>
          </w:p>
        </w:tc>
        <w:tc>
          <w:tcPr>
            <w:tcW w:type="dxa" w:w="435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28320" cy="34798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" cy="347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400" w:lineRule="exact" w:before="150" w:after="256"/>
        <w:ind w:left="6" w:right="2016" w:hanging="6"/>
        <w:jc w:val="lef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 xml:space="preserve">Systematic Review </w:t>
      </w:r>
      <w:r>
        <w:br/>
      </w:r>
      <w:r>
        <w:rPr>
          <w:rFonts w:ascii="URWPalladioL" w:hAnsi="URWPalladioL" w:eastAsia="URWPalladioL"/>
          <w:b/>
          <w:i w:val="0"/>
          <w:color w:val="000000"/>
          <w:sz w:val="36"/>
        </w:rPr>
        <w:t xml:space="preserve">Board Games in Improving Pupils’ Speaking Skills: </w:t>
      </w:r>
      <w:r>
        <w:rPr>
          <w:rFonts w:ascii="URWPalladioL" w:hAnsi="URWPalladioL" w:eastAsia="URWPalladioL"/>
          <w:b/>
          <w:i w:val="0"/>
          <w:color w:val="000000"/>
          <w:sz w:val="36"/>
        </w:rPr>
        <w:t>A Systematic Review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511"/>
        <w:gridCol w:w="3511"/>
        <w:gridCol w:w="3511"/>
      </w:tblGrid>
      <w:tr>
        <w:trPr>
          <w:trHeight w:hRule="exact" w:val="368"/>
        </w:trPr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20"/>
              </w:rPr>
              <w:t>Catherine Hui Tiing Wong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6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20"/>
              </w:rPr>
              <w:t>and Melor Md Yunus *</w:t>
            </w: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6" w:lineRule="exact" w:before="302" w:after="0"/>
        <w:ind w:left="2626" w:right="720" w:firstLine="6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6"/>
        </w:rPr>
        <w:t xml:space="preserve">Faculty of Education, Universiti Kebangsaan Malaysia, Bandar Baru Bangi 43600, Selangor, Malaysia; </w:t>
      </w:r>
      <w:r>
        <w:rPr>
          <w:rFonts w:ascii="URWPalladioL" w:hAnsi="URWPalladioL" w:eastAsia="URWPalladioL"/>
          <w:b w:val="0"/>
          <w:i w:val="0"/>
          <w:color w:val="000000"/>
          <w:sz w:val="16"/>
        </w:rPr>
        <w:t xml:space="preserve">p105783@ukm.edu.my </w:t>
      </w:r>
      <w:r>
        <w:br/>
      </w:r>
      <w:r>
        <w:rPr>
          <w:rFonts w:ascii="URWPalladioL" w:hAnsi="URWPalladioL" w:eastAsia="URWPalladioL"/>
          <w:b/>
          <w:i w:val="0"/>
          <w:color w:val="000000"/>
          <w:sz w:val="16"/>
        </w:rPr>
        <w:t>*</w:t>
      </w:r>
      <w:r>
        <w:rPr>
          <w:rFonts w:ascii="URWPalladioL" w:hAnsi="URWPalladioL" w:eastAsia="URWPalladioL"/>
          <w:b w:val="0"/>
          <w:i w:val="0"/>
          <w:color w:val="000000"/>
          <w:sz w:val="16"/>
        </w:rPr>
        <w:t xml:space="preserve"> Correspondence: melor@ukm.edu.my</w:t>
      </w:r>
    </w:p>
    <w:p>
      <w:pPr>
        <w:autoSpaceDN w:val="0"/>
        <w:autoSpaceDE w:val="0"/>
        <w:widowControl/>
        <w:spacing w:line="258" w:lineRule="exact" w:before="262" w:after="14"/>
        <w:ind w:left="2592" w:right="0" w:firstLine="0"/>
        <w:jc w:val="center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Abstract: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English is a fundamental language to learn as it is used worldwide. The teaching and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learning of English has been emphasized in Malaysia as English plays a major role in global com-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munication. However, speaking performance was recorded as poor and weak among pupils in ESL 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classrooms. Previous researchers explored a myriad of communicative language activities to improve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speaking skill. Board games are employed as one of the most useful tools to improve speaking skills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among pupils. This systematic review was conducted to examine pupils’ perceptions on the use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of board games in learning and speaking, as well as the usefulness of board games in improving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their speaking skill. A total of 35 articles, from the period 2017–2021, were accessed through three 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databases: Google Scholar, ERIC and SAGE Journals. The review was conducted systematically based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on the guidelines from the PRISMA statement (Preferred Reporting Items for Systematic Reviews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and Meta-Analyses). Based on the articles gathered, the results showed that the qualitative research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511"/>
        <w:gridCol w:w="3511"/>
        <w:gridCol w:w="3511"/>
      </w:tblGrid>
      <w:tr>
        <w:trPr>
          <w:trHeight w:hRule="exact" w:val="436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900" cy="2159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66" w:after="0"/>
              <w:ind w:left="0" w:right="1440" w:firstLine="0"/>
              <w:jc w:val="center"/>
            </w:pPr>
            <w:r>
              <w:rPr>
                <w:w w:val="98.40999841690063"/>
                <w:rFonts w:ascii="SourceSansRoman" w:hAnsi="SourceSansRoman" w:eastAsia="SourceSansRoman"/>
                <w:b w:val="0"/>
                <w:i w:val="0"/>
                <w:color w:val="000000"/>
                <w:sz w:val="16"/>
              </w:rPr>
              <w:t>���������</w:t>
            </w:r>
            <w:r>
              <w:rPr>
                <w:rFonts w:ascii="SourceSansRoman.613wght" w:hAnsi="SourceSansRoman.613wght" w:eastAsia="SourceSansRoman.613wght"/>
                <w:b w:val="0"/>
                <w:i w:val="0"/>
                <w:color w:val="000000"/>
                <w:sz w:val="14"/>
              </w:rPr>
              <w:t>�</w:t>
            </w:r>
            <w:r>
              <w:br/>
            </w:r>
            <w:r>
              <w:rPr>
                <w:w w:val="98.40999841690063"/>
                <w:rFonts w:ascii="SourceSansRoman" w:hAnsi="SourceSansRoman" w:eastAsia="SourceSansRoman"/>
                <w:b/>
                <w:i w:val="0"/>
                <w:color w:val="000000"/>
                <w:sz w:val="16"/>
              </w:rPr>
              <w:t>�������</w:t>
            </w:r>
          </w:p>
        </w:tc>
        <w:tc>
          <w:tcPr>
            <w:tcW w:type="dxa" w:w="8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46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 xml:space="preserve">design was mostly used to collect pupils’ opinions on the use of board games, while quantitative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 xml:space="preserve">research design was mostly used to evaluate the usefulness of board games in improving speaking.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Overall, the systematic review revealed that board games had several positive impacts in pupils’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 xml:space="preserve">speaking performances such as improving speaking competency, enhancing motivation in speaking </w:t>
            </w:r>
            <w:r>
              <w:rPr>
                <w:w w:val="98.62537384033203"/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 xml:space="preserve">and increasing interpersonal interaction among pupils. It is suggested that future studies could focus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on investigating teachers’ opinions on the use of board games in teaching and speaking.</w:t>
            </w:r>
          </w:p>
          <w:p>
            <w:pPr>
              <w:autoSpaceDN w:val="0"/>
              <w:autoSpaceDE w:val="0"/>
              <w:widowControl/>
              <w:spacing w:line="224" w:lineRule="exact" w:before="278" w:after="0"/>
              <w:ind w:left="146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Keywords: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 xml:space="preserve"> board games; speaking; education; English; pupils’ perceptions</w:t>
            </w:r>
          </w:p>
        </w:tc>
      </w:tr>
      <w:tr>
        <w:trPr>
          <w:trHeight w:hRule="exact" w:val="1720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4" w:after="0"/>
              <w:ind w:left="20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4"/>
              </w:rPr>
              <w:t>Citation: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 Wong, C.H.T.; Yunus, M.M.</w:t>
            </w:r>
          </w:p>
          <w:p>
            <w:pPr>
              <w:autoSpaceDN w:val="0"/>
              <w:autoSpaceDE w:val="0"/>
              <w:widowControl/>
              <w:spacing w:line="238" w:lineRule="exact" w:before="0" w:after="0"/>
              <w:ind w:left="16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Board Games in Improving Pupils’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Speaking Skills: A Systematic Review. 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4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4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4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, 8772.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hyperlink r:id="rId14" w:history="1">
                <w:r>
                  <w:rPr>
                    <w:rStyle w:val="Hyperlink"/>
                  </w:rPr>
                  <w:t xml:space="preserve">https:// </w:t>
                </w:r>
              </w:hyperlink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hyperlink r:id="rId14" w:history="1">
                <w:r>
                  <w:rPr>
                    <w:rStyle w:val="Hyperlink"/>
                  </w:rPr>
                  <w:t>doi.org/10.3390/su13168772</w:t>
                </w:r>
              </w:hyperlink>
            </w:r>
          </w:p>
          <w:p>
            <w:pPr>
              <w:autoSpaceDN w:val="0"/>
              <w:autoSpaceDE w:val="0"/>
              <w:widowControl/>
              <w:spacing w:line="170" w:lineRule="exact" w:before="306" w:after="0"/>
              <w:ind w:left="1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Academic Editors: V</w:t>
            </w:r>
            <w:r>
              <w:rPr>
                <w:rFonts w:ascii="VnURWPalladioL" w:hAnsi="VnURWPalladioL" w:eastAsia="VnURWPalladioL"/>
                <w:b w:val="0"/>
                <w:i w:val="0"/>
                <w:color w:val="000000"/>
                <w:sz w:val="14"/>
              </w:rPr>
              <w:t>í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ctor</w:t>
            </w:r>
          </w:p>
        </w:tc>
        <w:tc>
          <w:tcPr>
            <w:tcW w:type="dxa" w:w="351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2" w:lineRule="exact" w:before="34" w:after="0"/>
        <w:ind w:left="8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4"/>
        </w:rPr>
        <w:t>Abella Garc</w:t>
      </w:r>
      <w:r>
        <w:rPr>
          <w:rFonts w:ascii="VnURWPalladioL" w:hAnsi="VnURWPalladioL" w:eastAsia="VnURWPalladioL"/>
          <w:b w:val="0"/>
          <w:i w:val="0"/>
          <w:color w:val="000000"/>
          <w:sz w:val="14"/>
        </w:rPr>
        <w:t>í</w:t>
      </w:r>
      <w:r>
        <w:rPr>
          <w:rFonts w:ascii="URWPalladioL" w:hAnsi="URWPalladioL" w:eastAsia="URWPalladioL"/>
          <w:b w:val="0"/>
          <w:i w:val="0"/>
          <w:color w:val="000000"/>
          <w:sz w:val="14"/>
        </w:rPr>
        <w:t>a, Roberto Baelo,</w:t>
      </w:r>
    </w:p>
    <w:p>
      <w:pPr>
        <w:autoSpaceDN w:val="0"/>
        <w:autoSpaceDE w:val="0"/>
        <w:widowControl/>
        <w:spacing w:line="172" w:lineRule="exact" w:before="66" w:after="34"/>
        <w:ind w:left="1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4"/>
        </w:rPr>
        <w:t>Sheila Garc</w:t>
      </w:r>
      <w:r>
        <w:rPr>
          <w:rFonts w:ascii="VnURWPalladioL" w:hAnsi="VnURWPalladioL" w:eastAsia="VnURWPalladioL"/>
          <w:b w:val="0"/>
          <w:i w:val="0"/>
          <w:color w:val="000000"/>
          <w:sz w:val="14"/>
        </w:rPr>
        <w:t>í</w:t>
      </w:r>
      <w:r>
        <w:rPr>
          <w:rFonts w:ascii="URWPalladioL" w:hAnsi="URWPalladioL" w:eastAsia="URWPalladioL"/>
          <w:b w:val="0"/>
          <w:i w:val="0"/>
          <w:color w:val="000000"/>
          <w:sz w:val="14"/>
        </w:rPr>
        <w:t>a-Mart</w:t>
      </w:r>
      <w:r>
        <w:rPr>
          <w:rFonts w:ascii="VnURWPalladioL" w:hAnsi="VnURWPalladioL" w:eastAsia="VnURWPalladioL"/>
          <w:b w:val="0"/>
          <w:i w:val="0"/>
          <w:color w:val="000000"/>
          <w:sz w:val="14"/>
        </w:rPr>
        <w:t>í</w:t>
      </w:r>
      <w:r>
        <w:rPr>
          <w:rFonts w:ascii="URWPalladioL" w:hAnsi="URWPalladioL" w:eastAsia="URWPalladioL"/>
          <w:b w:val="0"/>
          <w:i w:val="0"/>
          <w:color w:val="000000"/>
          <w:sz w:val="14"/>
        </w:rPr>
        <w:t>n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5267"/>
        <w:gridCol w:w="5267"/>
      </w:tblGrid>
      <w:tr>
        <w:trPr>
          <w:trHeight w:hRule="exact" w:val="1232"/>
        </w:trPr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4" w:after="0"/>
              <w:ind w:left="2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Mario Grande-de-Prado</w:t>
            </w:r>
          </w:p>
          <w:p>
            <w:pPr>
              <w:autoSpaceDN w:val="0"/>
              <w:autoSpaceDE w:val="0"/>
              <w:widowControl/>
              <w:spacing w:line="238" w:lineRule="exact" w:before="240" w:after="0"/>
              <w:ind w:left="14" w:right="526" w:firstLine="6"/>
              <w:jc w:val="both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Received: 29 June 2021 </w:t>
            </w:r>
            <w:r>
              <w:br/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Accepted: 30 July 2021 </w:t>
            </w:r>
            <w:r>
              <w:br/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Published: 5 August 2021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50" w:val="left"/>
              </w:tabs>
              <w:autoSpaceDE w:val="0"/>
              <w:widowControl/>
              <w:spacing w:line="270" w:lineRule="exact" w:before="150" w:after="0"/>
              <w:ind w:left="526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20"/>
              </w:rPr>
              <w:t xml:space="preserve">1. Introduction </w:t>
            </w:r>
            <w:r>
              <w:br/>
            </w:r>
            <w:r>
              <w:tab/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In the era of globalization, English takes its stance as the predominant language, </w:t>
            </w: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spoken by around 400 million people across the globe. English is used as a means of verbal </w:t>
            </w: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and written communication worldwide to bridge the gaps in economic, political and social</w:t>
            </w:r>
          </w:p>
        </w:tc>
      </w:tr>
    </w:tbl>
    <w:p>
      <w:pPr>
        <w:autoSpaceDN w:val="0"/>
        <w:autoSpaceDE w:val="0"/>
        <w:widowControl/>
        <w:spacing w:line="244" w:lineRule="exact" w:before="4" w:after="2"/>
        <w:ind w:left="0" w:right="54" w:firstLine="0"/>
        <w:jc w:val="righ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>aspects. Since English is known as an international language, development of English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5267"/>
        <w:gridCol w:w="5267"/>
      </w:tblGrid>
      <w:tr>
        <w:trPr>
          <w:trHeight w:hRule="exact" w:val="1004"/>
        </w:trPr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4" w:right="0" w:firstLine="6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4"/>
              </w:rPr>
              <w:t>Publisher’s Note: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 MDPI stays neutral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with regard to jurisdictional claims in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published maps and institutional affil-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iations.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146" w:right="10" w:hanging="6"/>
              <w:jc w:val="both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proficiency and speaking competency should be emphasized 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20"/>
              </w:rPr>
              <w:t>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]. It is essential to master </w:t>
            </w: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English to increase one’s chances of being admitted to a prestigious university and to obtain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more employment opportunities in the international marketplace 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20"/>
              </w:rPr>
              <w:t>2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]. Speaking English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broadens one’s world as it enables connections to be forged between people of different</w:t>
            </w:r>
          </w:p>
        </w:tc>
      </w:tr>
    </w:tbl>
    <w:p>
      <w:pPr>
        <w:autoSpaceDN w:val="0"/>
        <w:autoSpaceDE w:val="0"/>
        <w:widowControl/>
        <w:spacing w:line="244" w:lineRule="exact" w:before="4" w:after="4"/>
        <w:ind w:left="0" w:right="54" w:firstLine="0"/>
        <w:jc w:val="righ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>countries, cultures and lifestyles. Hence, being able to speak and communicate in English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756"/>
        <w:gridCol w:w="1756"/>
        <w:gridCol w:w="1756"/>
        <w:gridCol w:w="1756"/>
        <w:gridCol w:w="1756"/>
        <w:gridCol w:w="1756"/>
      </w:tblGrid>
      <w:tr>
        <w:trPr>
          <w:trHeight w:hRule="exact" w:val="1204"/>
        </w:trPr>
        <w:tc>
          <w:tcPr>
            <w:tcW w:type="dxa" w:w="248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0090" cy="25145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" cy="2514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8" w:lineRule="exact" w:before="44" w:after="0"/>
              <w:ind w:left="0" w:right="114" w:firstLine="0"/>
              <w:jc w:val="both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4"/>
              </w:rPr>
              <w:t>Copyright: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 © 2021 by the authors.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Licensee MDPI, Basel, Switzerland.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This article is an open access article</w:t>
            </w:r>
          </w:p>
        </w:tc>
        <w:tc>
          <w:tcPr>
            <w:tcW w:type="dxa" w:w="799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" w:after="0"/>
              <w:ind w:left="146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has become the main concern in education.</w:t>
            </w:r>
          </w:p>
          <w:p>
            <w:pPr>
              <w:autoSpaceDN w:val="0"/>
              <w:autoSpaceDE w:val="0"/>
              <w:widowControl/>
              <w:spacing w:line="250" w:lineRule="exact" w:before="0" w:after="0"/>
              <w:ind w:left="146" w:right="4" w:firstLine="424"/>
              <w:jc w:val="both"/>
            </w:pP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Speaking is an interactive process that comprises producing, receiving and processing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information in the presence of both the speaker and listener to convey feelings, thoughts </w:t>
            </w: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and opinions 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20"/>
              </w:rPr>
              <w:t>3</w:t>
            </w:r>
            <w:r>
              <w:rPr>
                <w:w w:val="98.62470626831055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]. One of the aims of teaching English is to facilitate pupils to speak the target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language fluently and accurately in their daily communication, group discussions and </w:t>
            </w:r>
            <w:r>
              <w:rPr>
                <w:w w:val="98.87598037719727"/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classroom presentations. In Malaysia, deficiency in speaking skill has been a main concern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in ESL classrooms. Before the implementation of the Common European Framework of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 xml:space="preserve">Reference (CEFR), the exam-oriented curriculum caused English lessons to focus solely on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20"/>
              </w:rPr>
              <w:t>tested items such as reading comprehension, grammar and essay writing. Limited time</w:t>
            </w:r>
          </w:p>
        </w:tc>
      </w:tr>
      <w:tr>
        <w:trPr>
          <w:trHeight w:hRule="exact" w:val="240"/>
        </w:trPr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distributed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under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the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terms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1756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70"/>
        </w:trPr>
        <w:tc>
          <w:tcPr>
            <w:tcW w:type="dxa" w:w="2484"/>
            <w:gridSpan w:val="5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6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conditions of the Creative Commons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Attribution (CC BY) license (https://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 xml:space="preserve">creativecommons.org/licenses/by/ 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4"/>
              </w:rPr>
              <w:t>4.0/).</w:t>
            </w:r>
          </w:p>
        </w:tc>
        <w:tc>
          <w:tcPr>
            <w:tcW w:type="dxa" w:w="1756"/>
            <w:vMerge/>
            <w:tcBorders>
              <w:bottom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88"/>
        <w:ind w:left="0" w:right="0"/>
      </w:pPr>
    </w:p>
    <w:p>
      <w:pPr>
        <w:sectPr>
          <w:pgSz w:w="11906" w:h="16838"/>
          <w:pgMar w:top="470" w:right="666" w:bottom="188" w:left="706" w:header="720" w:footer="720" w:gutter="0"/>
          <w:cols w:space="720" w:num="1" w:equalWidth="0"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0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16"/>
        </w:rPr>
        <w:t>Sustainability</w:t>
      </w:r>
      <w:r>
        <w:rPr>
          <w:rFonts w:ascii="URWPalladioL" w:hAnsi="URWPalladioL" w:eastAsia="URWPalladioL"/>
          <w:b/>
          <w:i w:val="0"/>
          <w:color w:val="000000"/>
          <w:sz w:val="16"/>
        </w:rPr>
        <w:t xml:space="preserve"> 2021</w:t>
      </w:r>
      <w:r>
        <w:rPr>
          <w:rFonts w:ascii="URWPalladioL" w:hAnsi="URWPalladioL" w:eastAsia="URWPalladioL"/>
          <w:b w:val="0"/>
          <w:i w:val="0"/>
          <w:color w:val="000000"/>
          <w:sz w:val="16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6"/>
        </w:rPr>
        <w:t xml:space="preserve"> 13</w:t>
      </w:r>
      <w:r>
        <w:rPr>
          <w:rFonts w:ascii="URWPalladioL" w:hAnsi="URWPalladioL" w:eastAsia="URWPalladioL"/>
          <w:b w:val="0"/>
          <w:i w:val="0"/>
          <w:color w:val="000000"/>
          <w:sz w:val="16"/>
        </w:rPr>
        <w:t xml:space="preserve">, 8772. </w:t>
      </w:r>
      <w:r>
        <w:rPr>
          <w:rFonts w:ascii="URWPalladioL" w:hAnsi="URWPalladioL" w:eastAsia="URWPalladioL"/>
          <w:b w:val="0"/>
          <w:i w:val="0"/>
          <w:color w:val="000000"/>
          <w:sz w:val="16"/>
        </w:rPr>
        <w:hyperlink r:id="rId14" w:history="1">
          <w:r>
            <w:rPr>
              <w:rStyle w:val="Hyperlink"/>
            </w:rPr>
            <w:t>https://doi.org/10.3390/su13168772</w:t>
          </w:r>
        </w:hyperlink>
      </w:r>
    </w:p>
    <w:p>
      <w:pPr>
        <w:sectPr>
          <w:type w:val="continuous"/>
          <w:pgSz w:w="11906" w:h="16838"/>
          <w:pgMar w:top="470" w:right="666" w:bottom="188" w:left="706" w:header="720" w:footer="720" w:gutter="0"/>
          <w:cols w:space="720" w:num="2" w:equalWidth="0"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94" w:firstLine="0"/>
        <w:jc w:val="right"/>
      </w:pPr>
      <w:r>
        <w:rPr>
          <w:rFonts w:ascii="URWPalladioL" w:hAnsi="URWPalladioL" w:eastAsia="URWPalladioL"/>
          <w:b w:val="0"/>
          <w:i w:val="0"/>
          <w:color w:val="000000"/>
          <w:sz w:val="16"/>
        </w:rPr>
        <w:hyperlink r:id="rId16" w:history="1">
          <w:r>
            <w:rPr>
              <w:rStyle w:val="Hyperlink"/>
            </w:rPr>
            <w:t>https://www.mdpi.com/journal/sustainability</w:t>
          </w:r>
        </w:hyperlink>
      </w:r>
    </w:p>
    <w:p>
      <w:pPr>
        <w:sectPr>
          <w:type w:val="nextColumn"/>
          <w:pgSz w:w="11906" w:h="16838"/>
          <w:pgMar w:top="470" w:right="666" w:bottom="188" w:left="706" w:header="720" w:footer="720" w:gutter="0"/>
          <w:cols w:space="720" w:num="2" w:equalWidth="0"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4"/>
        <w:gridCol w:w="5264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2 of 11</w:t>
            </w:r>
          </w:p>
        </w:tc>
      </w:tr>
    </w:tbl>
    <w:p>
      <w:pPr>
        <w:autoSpaceDN w:val="0"/>
        <w:autoSpaceDE w:val="0"/>
        <w:widowControl/>
        <w:spacing w:line="250" w:lineRule="exact" w:before="530" w:after="0"/>
        <w:ind w:left="2624" w:right="0" w:firstLine="0"/>
        <w:jc w:val="left"/>
      </w:pPr>
      <w:r>
        <w:rPr>
          <w:w w:val="98.87598037719727"/>
          <w:rFonts w:ascii="URWPalladioL" w:hAnsi="URWPalladioL" w:eastAsia="URWPalladioL"/>
          <w:b w:val="0"/>
          <w:i w:val="0"/>
          <w:color w:val="000000"/>
          <w:sz w:val="20"/>
        </w:rPr>
        <w:t xml:space="preserve">allocation for listening and speaking leads to the negligence of oral language development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the ESL classroom. According to the results of the Cambridge Baseline Study in 2013,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pupils’ English performance was below the expected level of proficiency and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skill was the weakest among the four skills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Some pupils excel in grammar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vocabulary, but they face hindrances when learning English. This is due to the lack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exposure and the cultural background they are brought up with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English is considered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as the second language in most families and schools. Pupils tend to speak their mother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tongue at home and at school; they seldom have chance to speak English as people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their environment communicate with them using their mother tongue. Most of the pupils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are only exposed to English during English lessons in school. In addition to this reason,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teacher-centered speaking lessons and pupils’ passive learning attitudes also contribute to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low speaking competency. In the teacher-centered classroom, pupils passively accept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linguistic knowledge imparted by their teacher without having opportunities to practice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their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6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Teachers should alter their traditional teaching methods and conduct more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communicative activities that offer chances for pupils to speak English.</w:t>
      </w:r>
    </w:p>
    <w:p>
      <w:pPr>
        <w:autoSpaceDN w:val="0"/>
        <w:autoSpaceDE w:val="0"/>
        <w:widowControl/>
        <w:spacing w:line="252" w:lineRule="exact" w:before="0" w:after="0"/>
        <w:ind w:left="2620" w:right="0" w:firstLine="424"/>
        <w:jc w:val="left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 success of speaking English is measured in terms of the pupils’ ability to carry out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a conversation in English with correct pronunciation, grammar, good use of vocabulary and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fluency. The primary obstacles that deter pupils from speaking are the lack of vocabulary as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well as some psychological factors, such as anxiety and fear of making errors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To address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issue of low speaking proficiency among primary pupils, educators have revised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curriculum. The curriculum focuses on communicative-based language activities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upholds fun learning in ESL classrooms. It is essential for teachers to develop captivating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and interactive speaking activities to motivate pupils to engage in spoken interaction.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Student-centered activities with authentic contexts should be planned to gain pupils’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interests and motivation to speak in the lessons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show their willingness to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participate when the topics and materials are related to their own lives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Therefore,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teachers should select appropriate learning strategies that cater for pupils’ needs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learning preferences so that they feel encouraged to speak without any fear of making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flaws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2" w:lineRule="exact" w:before="0" w:after="0"/>
        <w:ind w:left="262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One of the ways to get pupils immersed in a speaking lesson is through games.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Using games in teaching and learning transforms the traditional method of transmitting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knowledge. The incorporation of games in learning triggers pupils to be autonomous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learners and enhances their learning in various fields of knowledge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Undeniably,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help to lower pupils’ anxieties and create contexts in which pupils can collaborate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with peers in teams to use language meaningfully and in a relaxed way. This is supported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by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], who proclaimed that pupils interact with other players and follow the context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presented during the games. There are a wide array of communicative games that can be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used to teach speaking, and one of them is board games. Through board games, pupils have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to take turns to express their ideas according to the instructions given. Some board games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imitate real-life circumstances which subconsciously help pupils to develop social skills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increase their flexibility. Several studies were done in the past to examine the effectiveness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of the integration of board games into classroom teaching and learning to improve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skill. Gaming literature also displays data on the usefulness of board games in language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learning. However, there is no systematic literature review that specifies the use of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to improve English speaking. With this backdrop, this review attempts to present a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comprehensive analysis of research studies to synthesize the findings of past studies related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to users’ perceptions towards the use of board games in speaking, as well as their usefulness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informing future studies. It is vital to look from users’ perspectives to investigate their </w:t>
      </w:r>
      <w:r>
        <w:rPr>
          <w:w w:val="98.9763069152832"/>
          <w:rFonts w:ascii="URWPalladioL" w:hAnsi="URWPalladioL" w:eastAsia="URWPalladioL"/>
          <w:b w:val="0"/>
          <w:i w:val="0"/>
          <w:color w:val="000000"/>
          <w:sz w:val="20"/>
        </w:rPr>
        <w:t xml:space="preserve">perception towards the use of board games in learning speaking. By understanding this, it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helps researchers to evaluate the success of implementing board games in speaking lessons.</w:t>
      </w:r>
    </w:p>
    <w:p>
      <w:pPr>
        <w:autoSpaceDN w:val="0"/>
        <w:autoSpaceDE w:val="0"/>
        <w:widowControl/>
        <w:spacing w:line="250" w:lineRule="exact" w:before="0" w:after="0"/>
        <w:ind w:left="2624" w:right="58" w:firstLine="430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Firstly, researchers generally defined board games as tabletop games that involve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pieces moved or placed on a board or cards. Board games often include elements such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as cards, roles playing and miniature games, according to a set of rules. To determine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 appropriateness of the past research studies, which will be reviewed, the researchers</w:t>
      </w:r>
    </w:p>
    <w:p>
      <w:pPr>
        <w:sectPr>
          <w:pgSz w:w="11906" w:h="16838"/>
          <w:pgMar w:top="520" w:right="662" w:bottom="700" w:left="716" w:header="720" w:footer="720" w:gutter="0"/>
          <w:cols w:space="720" w:num="1" w:equalWidth="0"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2"/>
        <w:gridCol w:w="5262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3 of 11</w:t>
            </w:r>
          </w:p>
        </w:tc>
      </w:tr>
    </w:tbl>
    <w:p>
      <w:pPr>
        <w:autoSpaceDN w:val="0"/>
        <w:autoSpaceDE w:val="0"/>
        <w:widowControl/>
        <w:spacing w:line="252" w:lineRule="exact" w:before="566" w:after="0"/>
        <w:ind w:left="2630" w:right="50" w:firstLine="0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have outlined two research questions: a) What are the pupils’ perceptions towards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use of board games to improve their speaking skills? and b) To what extent are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useful to improve pupils’ speaking skills? These questions serve as yardsticks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for researchers to select suitable studies to be included in this systematic review. After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reviewing the studies, results will be synthesised to answer both questions.</w:t>
      </w:r>
    </w:p>
    <w:p>
      <w:pPr>
        <w:autoSpaceDN w:val="0"/>
        <w:autoSpaceDE w:val="0"/>
        <w:widowControl/>
        <w:spacing w:line="270" w:lineRule="exact" w:before="182" w:after="0"/>
        <w:ind w:left="2630" w:right="6048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 xml:space="preserve">2. Literature Review </w:t>
      </w:r>
      <w:r>
        <w:br/>
      </w:r>
      <w:r>
        <w:rPr>
          <w:rFonts w:ascii="URWPalladioL" w:hAnsi="URWPalladioL" w:eastAsia="URWPalladioL"/>
          <w:b w:val="0"/>
          <w:i/>
          <w:color w:val="000000"/>
          <w:sz w:val="20"/>
        </w:rPr>
        <w:t>2.1. Speaking Skill</w:t>
      </w:r>
    </w:p>
    <w:p>
      <w:pPr>
        <w:autoSpaceDN w:val="0"/>
        <w:autoSpaceDE w:val="0"/>
        <w:widowControl/>
        <w:spacing w:line="252" w:lineRule="exact" w:before="54" w:after="0"/>
        <w:ind w:left="263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Speaking skill is one of the eminent skills to master in the process of learning English.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It is a two-way interactive process which involves producing, receiving and processing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information in the presence of both a speaker and a listener to convey feelings, thoughts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and opinions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 According to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], speaking is the ability in pronouncing words to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express ideas in conversation or dialogue. A fluent speaker is able to pronounce phonemes </w:t>
      </w:r>
      <w:r>
        <w:rPr>
          <w:w w:val="98.72529029846191"/>
          <w:rFonts w:ascii="URWPalladioL" w:hAnsi="URWPalladioL" w:eastAsia="URWPalladioL"/>
          <w:b w:val="0"/>
          <w:i w:val="0"/>
          <w:color w:val="000000"/>
          <w:sz w:val="20"/>
        </w:rPr>
        <w:t>accurately with the appropriate stresses and intonation in connected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14</w:t>
      </w:r>
      <w:r>
        <w:rPr>
          <w:w w:val="98.72529029846191"/>
          <w:rFonts w:ascii="URWPalladioL" w:hAnsi="URWPalladioL" w:eastAsia="URWPalladioL"/>
          <w:b w:val="0"/>
          <w:i w:val="0"/>
          <w:color w:val="000000"/>
          <w:sz w:val="20"/>
        </w:rPr>
        <w:t xml:space="preserve">].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does not only emphasize the articulation of sounds in expressing thoughts, it also looks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into fluency and grammar. According to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15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], pronunciation refers to the ability to produce </w:t>
      </w:r>
      <w:r>
        <w:rPr>
          <w:w w:val="98.77554893493652"/>
          <w:rFonts w:ascii="URWPalladioL" w:hAnsi="URWPalladioL" w:eastAsia="URWPalladioL"/>
          <w:b w:val="0"/>
          <w:i w:val="0"/>
          <w:color w:val="000000"/>
          <w:sz w:val="20"/>
        </w:rPr>
        <w:t xml:space="preserve">speech using correct stress, rhythm, and intonation. Fluency is the ability to deliver speech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a natural colloquial flow without pauses and hesitation. It does not emphasize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flaws that speakers make in terms of grammar, pronunciation and lexicals, as long as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audience comprehends the content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Grammar is described as the correct use of tenses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and combination of linguistic units in producing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By mastering these elements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of speaking, learners are able to convey their ideas successfully.</w:t>
      </w:r>
    </w:p>
    <w:p>
      <w:pPr>
        <w:autoSpaceDN w:val="0"/>
        <w:autoSpaceDE w:val="0"/>
        <w:widowControl/>
        <w:spacing w:line="248" w:lineRule="exact" w:before="204" w:after="0"/>
        <w:ind w:left="2630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2.2. Board Games</w:t>
      </w:r>
    </w:p>
    <w:p>
      <w:pPr>
        <w:autoSpaceDN w:val="0"/>
        <w:autoSpaceDE w:val="0"/>
        <w:widowControl/>
        <w:spacing w:line="252" w:lineRule="exact" w:before="54" w:after="0"/>
        <w:ind w:left="2624" w:right="0" w:firstLine="422"/>
        <w:jc w:val="left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Board games are games that require players to move counters or pieces in particular ways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on a pre-marked board, according to a set of rules. Board games can be classified into classic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games, family games, strategy games, thematic games and war games. There are several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famous board games such as chess, Monopoly, Snakes and Ladders, etc. As well as these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traditional board games, there are some strategy board games that involve role playing, for </w:t>
      </w:r>
      <w:r>
        <w:rPr>
          <w:w w:val="98.87598037719727"/>
          <w:rFonts w:ascii="URWPalladioL" w:hAnsi="URWPalladioL" w:eastAsia="URWPalladioL"/>
          <w:b w:val="0"/>
          <w:i w:val="0"/>
          <w:color w:val="000000"/>
          <w:sz w:val="20"/>
        </w:rPr>
        <w:t xml:space="preserve">instance, Werewolf, Avalon and Mafia. Players have to use strategy in order to achieve certain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goals in these games. Board games are bound by a set of rules and relate to certain contexts.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context relatedness in games is beneficial for children in learning a language as they can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share better experiences as they interact with other players during the game. As stated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 theory of social constructivism by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in 1978, playing board games helped to enhance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children’s development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19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Therefore, board games are recognized as ideal language learning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tools as they equip children with new knowledge whilst also entertaining them.</w:t>
      </w:r>
    </w:p>
    <w:p>
      <w:pPr>
        <w:autoSpaceDN w:val="0"/>
        <w:autoSpaceDE w:val="0"/>
        <w:widowControl/>
        <w:spacing w:line="250" w:lineRule="exact" w:before="2" w:after="0"/>
        <w:ind w:left="263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 well-developed board game that matches with specific learning objectives contains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high educational value and is highly practicable in a classroom. As most pupils have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an interest in games, they will be driven to follow the game rules and speak the target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language of the games. They will acquire the language subconsciously as they generate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larger vocabularies of language through the games. In foreign countries, board games have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been widely used as a technique in teaching speaking skills as board games incorporate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elements of turn-taking and cooperative learning which require every player to speak,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enabling communication to occur naturally among pupils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48" w:lineRule="exact" w:before="206" w:after="0"/>
        <w:ind w:left="2630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2.3. Board Games in Teaching Speaking</w:t>
      </w:r>
    </w:p>
    <w:p>
      <w:pPr>
        <w:autoSpaceDN w:val="0"/>
        <w:autoSpaceDE w:val="0"/>
        <w:widowControl/>
        <w:spacing w:line="252" w:lineRule="exact" w:before="54" w:after="0"/>
        <w:ind w:left="2624" w:right="0" w:firstLine="43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Several studies indicated that adopting board games in speaking lessons influences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pupils in their cognitive and affective domain. Through board games, pupils show improve-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ment in the five aspects of speaking skills: grammar, pronunciation, fluency, vocabulary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and content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For example, the modified Monopoly and Snakes and Ladders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act as catalysts that assist pupils to speak in the context of descriptive texts. Board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and dice games are also proven to improve pupils’ grammar in their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The LOSS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board game also helps pupils to improve their pronunciation, as they are able to pronounce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different words with the same ending sounds.</w:t>
      </w:r>
    </w:p>
    <w:p>
      <w:pPr>
        <w:sectPr>
          <w:pgSz w:w="11906" w:h="16838"/>
          <w:pgMar w:top="520" w:right="666" w:bottom="664" w:left="716" w:header="720" w:footer="720" w:gutter="0"/>
          <w:cols w:space="720" w:num="1" w:equalWidth="0"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4"/>
        <w:gridCol w:w="5264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4 of 11</w:t>
            </w:r>
          </w:p>
        </w:tc>
      </w:tr>
    </w:tbl>
    <w:p>
      <w:pPr>
        <w:autoSpaceDN w:val="0"/>
        <w:autoSpaceDE w:val="0"/>
        <w:widowControl/>
        <w:spacing w:line="252" w:lineRule="exact" w:before="566" w:after="0"/>
        <w:ind w:left="2622" w:right="0" w:firstLine="43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>Moreover, the findings from past studies also reveal that board games engage pupils’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participation and improve the speaking ability of low-proficiency pupils in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lessons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Sometimes pupils cannot express their ideas as they lack the vocabulary.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Through board games, pupils are exposed to ideas and opinions given by their peers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</w:t>
      </w:r>
      <w:r>
        <w:rPr>
          <w:w w:val="98.77554893493652"/>
          <w:rFonts w:ascii="URWPalladioL" w:hAnsi="URWPalladioL" w:eastAsia="URWPalladioL"/>
          <w:b w:val="0"/>
          <w:i w:val="0"/>
          <w:color w:val="000000"/>
          <w:sz w:val="20"/>
        </w:rPr>
        <w:t>They listen and learn from their group members’ points of view, which helps them to mon-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itor their speaking progress and improve their speaking competence. Advanced pupils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acquainted with the games’ mechanics can support and assist weak pupils during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games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 Board games also create a fun and relaxing ambience that lowers pupils’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anxieties and motivates them, as they are related to what pupils find interesting and dif-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ferent from regular classroom speaking activities. It is vital to create a cordial and relaxed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atmosphere to lower pupils’ affective filters and amplify their learning performance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Additionally, some board games connect to real life circumstances which provide opportu-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nities for pupils to share their thoughts and ideas in the target language freely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This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assists pupils to be more flexible in the real world and develop their social skills.</w:t>
      </w:r>
    </w:p>
    <w:p>
      <w:pPr>
        <w:autoSpaceDN w:val="0"/>
        <w:tabs>
          <w:tab w:pos="3054" w:val="left"/>
        </w:tabs>
        <w:autoSpaceDE w:val="0"/>
        <w:widowControl/>
        <w:spacing w:line="250" w:lineRule="exact" w:before="0" w:after="0"/>
        <w:ind w:left="2630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Numerous studies have been done by past researchers to explore the usefulness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communicative language activities to improve speaking skills. However, there are very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limited resources that focus on pupils’ perceptions towards the use of board games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improving their speaking skill and the usefulness of board games to improve speaking 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 xml:space="preserve">skill among pupils. To address this problem, a systematic review was conducted to answer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following questions: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RQ1: What are the pupils’ perceptions towards the use of board games to improve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their speaking skills?</w:t>
      </w:r>
    </w:p>
    <w:p>
      <w:pPr>
        <w:autoSpaceDN w:val="0"/>
        <w:autoSpaceDE w:val="0"/>
        <w:widowControl/>
        <w:spacing w:line="244" w:lineRule="exact" w:before="6" w:after="0"/>
        <w:ind w:left="0" w:right="268" w:firstLine="0"/>
        <w:jc w:val="righ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>RQ2: To what extent are board games useful in improving pupils’ speaking skills?</w:t>
      </w:r>
    </w:p>
    <w:p>
      <w:pPr>
        <w:autoSpaceDN w:val="0"/>
        <w:autoSpaceDE w:val="0"/>
        <w:widowControl/>
        <w:spacing w:line="246" w:lineRule="exact" w:before="206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>3. Methodology</w:t>
      </w:r>
    </w:p>
    <w:p>
      <w:pPr>
        <w:autoSpaceDN w:val="0"/>
        <w:autoSpaceDE w:val="0"/>
        <w:widowControl/>
        <w:spacing w:line="252" w:lineRule="exact" w:before="56" w:after="0"/>
        <w:ind w:left="2622" w:right="0" w:firstLine="424"/>
        <w:jc w:val="left"/>
      </w:pPr>
      <w:r>
        <w:rPr>
          <w:w w:val="98.72529029846191"/>
          <w:rFonts w:ascii="URWPalladioL" w:hAnsi="URWPalladioL" w:eastAsia="URWPalladioL"/>
          <w:b w:val="0"/>
          <w:i w:val="0"/>
          <w:color w:val="000000"/>
          <w:sz w:val="20"/>
        </w:rPr>
        <w:t xml:space="preserve">In this study, the review and analysis were conducted systematically based on articles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and journals from the period, 2017–2021. The articles were retrieved from three databases: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Google Scholar, ERIC and SAGE Journals. The review conformed to the PRISMA statement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(Preferred Reporting Items for Systematic Reviews and Meta-Analyses), a recognized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evidence-based standard which comprises a 27-item checklist and a 4-phase flow diagram. </w:t>
      </w:r>
      <w:r>
        <w:rPr>
          <w:w w:val="98.77554893493652"/>
          <w:rFonts w:ascii="URWPalladioL" w:hAnsi="URWPalladioL" w:eastAsia="URWPalladioL"/>
          <w:b w:val="0"/>
          <w:i w:val="0"/>
          <w:color w:val="000000"/>
          <w:sz w:val="20"/>
        </w:rPr>
        <w:t xml:space="preserve">The PRISMA statement guides the researcher to identify inclusion and exclusion criteria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searching related articles and studies as well as to examine large databases of literature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reviews in a distinct period.</w:t>
      </w:r>
    </w:p>
    <w:p>
      <w:pPr>
        <w:autoSpaceDN w:val="0"/>
        <w:autoSpaceDE w:val="0"/>
        <w:widowControl/>
        <w:spacing w:line="250" w:lineRule="exact" w:before="0" w:after="0"/>
        <w:ind w:left="2630" w:right="58" w:firstLine="424"/>
        <w:jc w:val="both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This review began with the process of collecting findings on the effectiveness of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in speaking and pupils’ perceptions towards the use of board games through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search engines: Google Scholar, ERIC and SAGE Journals. The data collected underwent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four phases: identification phase, screening phase, eligibility phase and inclusion phase.</w:t>
      </w:r>
    </w:p>
    <w:p>
      <w:pPr>
        <w:autoSpaceDN w:val="0"/>
        <w:autoSpaceDE w:val="0"/>
        <w:widowControl/>
        <w:spacing w:line="248" w:lineRule="exact" w:before="204" w:after="0"/>
        <w:ind w:left="2630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3.1. Phase 1: Identification</w:t>
      </w:r>
    </w:p>
    <w:p>
      <w:pPr>
        <w:autoSpaceDN w:val="0"/>
        <w:autoSpaceDE w:val="0"/>
        <w:widowControl/>
        <w:spacing w:line="252" w:lineRule="exact" w:before="54" w:after="0"/>
        <w:ind w:left="2626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data collected for this systematic literature review are from three main sources: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Google Scholar, ERIC and SAGE Journals. Google Scholar is a web search engine released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November 2004 that enables users to access freely the full texts or reviews of online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academic journals, conference papers, reports, theses and other scholarly literature.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January 2018, Google Scholar was recognized as the largest academic search engine. It is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used worldwide and it is estimated to consist of approximately 389 million documents.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Meanwhile, ERIC is an online library supported by the Institute of Education Sciences (IES)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of the U.S. Department of Education which provides varieties of approved journal and </w:t>
      </w:r>
      <w:r>
        <w:rPr>
          <w:w w:val="98.77554893493652"/>
          <w:rFonts w:ascii="URWPalladioL" w:hAnsi="URWPalladioL" w:eastAsia="URWPalladioL"/>
          <w:b w:val="0"/>
          <w:i w:val="0"/>
          <w:color w:val="000000"/>
          <w:sz w:val="20"/>
        </w:rPr>
        <w:t xml:space="preserve">article sources that conform to its standard of selection. SAGE Publishing, founded in 1965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by Sara Miller McCune, is a site that publishes online journals, books and reference works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covering fields of humanities, social sciences, science, technology, business and medicine.</w:t>
      </w:r>
    </w:p>
    <w:p>
      <w:pPr>
        <w:autoSpaceDN w:val="0"/>
        <w:tabs>
          <w:tab w:pos="2620" w:val="left"/>
          <w:tab w:pos="2630" w:val="left"/>
          <w:tab w:pos="3054" w:val="left"/>
        </w:tabs>
        <w:autoSpaceDE w:val="0"/>
        <w:widowControl/>
        <w:spacing w:line="252" w:lineRule="exact" w:before="0" w:after="0"/>
        <w:ind w:left="2600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 keywords used for the literature search included “board games”, “speaking”,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“ESL classroom” and “students’ perceptions”. The search identified 128 studies from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Google Scholar, 42 studies from ERIC and 55 studies from SAGE Journals. These key words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were typed together to narrow the scope and to prevent information that was irrelevant to</w:t>
      </w:r>
    </w:p>
    <w:p>
      <w:pPr>
        <w:sectPr>
          <w:pgSz w:w="11906" w:h="16838"/>
          <w:pgMar w:top="520" w:right="662" w:bottom="676" w:left="716" w:header="720" w:footer="720" w:gutter="0"/>
          <w:cols w:space="720" w:num="1" w:equalWidth="0"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57"/>
        <w:gridCol w:w="5257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5 of 11</w:t>
            </w:r>
          </w:p>
        </w:tc>
      </w:tr>
    </w:tbl>
    <w:p>
      <w:pPr>
        <w:autoSpaceDN w:val="0"/>
        <w:autoSpaceDE w:val="0"/>
        <w:widowControl/>
        <w:spacing w:line="250" w:lineRule="exact" w:before="568" w:after="0"/>
        <w:ind w:left="2630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research topic. The studies were then screened according to their year of publication,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language, and literature type (Table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 xml:space="preserve"> 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22" w:lineRule="exact" w:before="260" w:after="142"/>
        <w:ind w:left="2624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Table 1.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The eligibility and exclusion criteria.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22.0000000000005" w:type="dxa"/>
      </w:tblPr>
      <w:tblGrid>
        <w:gridCol w:w="3505"/>
        <w:gridCol w:w="3505"/>
        <w:gridCol w:w="3505"/>
      </w:tblGrid>
      <w:tr>
        <w:trPr>
          <w:trHeight w:hRule="exact" w:val="290"/>
        </w:trPr>
        <w:tc>
          <w:tcPr>
            <w:tcW w:type="dxa" w:w="2022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Criterion</w:t>
            </w:r>
          </w:p>
        </w:tc>
        <w:tc>
          <w:tcPr>
            <w:tcW w:type="dxa" w:w="240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Eligibility</w:t>
            </w:r>
          </w:p>
        </w:tc>
        <w:tc>
          <w:tcPr>
            <w:tcW w:type="dxa" w:w="3434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Exclusion</w:t>
            </w:r>
          </w:p>
        </w:tc>
      </w:tr>
      <w:tr>
        <w:trPr>
          <w:trHeight w:hRule="exact" w:val="222"/>
        </w:trPr>
        <w:tc>
          <w:tcPr>
            <w:tcW w:type="dxa" w:w="202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Years of publication</w:t>
            </w:r>
          </w:p>
        </w:tc>
        <w:tc>
          <w:tcPr>
            <w:tcW w:type="dxa" w:w="240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Between 2017 and 2021</w:t>
            </w:r>
          </w:p>
        </w:tc>
        <w:tc>
          <w:tcPr>
            <w:tcW w:type="dxa" w:w="3434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&lt;2017</w:t>
            </w:r>
          </w:p>
        </w:tc>
      </w:tr>
      <w:tr>
        <w:trPr>
          <w:trHeight w:hRule="exact" w:val="200"/>
        </w:trPr>
        <w:tc>
          <w:tcPr>
            <w:tcW w:type="dxa" w:w="2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Language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English</w:t>
            </w:r>
          </w:p>
        </w:tc>
        <w:tc>
          <w:tcPr>
            <w:tcW w:type="dxa" w:w="34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Non-English</w:t>
            </w:r>
          </w:p>
        </w:tc>
      </w:tr>
      <w:tr>
        <w:trPr>
          <w:trHeight w:hRule="exact" w:val="248"/>
        </w:trPr>
        <w:tc>
          <w:tcPr>
            <w:tcW w:type="dxa" w:w="202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Literature type</w:t>
            </w:r>
          </w:p>
        </w:tc>
        <w:tc>
          <w:tcPr>
            <w:tcW w:type="dxa" w:w="24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Journal, research, articles</w:t>
            </w:r>
          </w:p>
        </w:tc>
        <w:tc>
          <w:tcPr>
            <w:tcW w:type="dxa" w:w="343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Non-journals, book chapters, abstracts</w:t>
            </w:r>
          </w:p>
        </w:tc>
      </w:tr>
    </w:tbl>
    <w:p>
      <w:pPr>
        <w:autoSpaceDN w:val="0"/>
        <w:autoSpaceDE w:val="0"/>
        <w:widowControl/>
        <w:spacing w:line="248" w:lineRule="exact" w:before="250" w:after="0"/>
        <w:ind w:left="0" w:right="6000" w:firstLine="0"/>
        <w:jc w:val="righ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3.2. Phase 2: Screening</w:t>
      </w:r>
    </w:p>
    <w:p>
      <w:pPr>
        <w:autoSpaceDN w:val="0"/>
        <w:autoSpaceDE w:val="0"/>
        <w:widowControl/>
        <w:spacing w:line="250" w:lineRule="exact" w:before="58" w:after="0"/>
        <w:ind w:left="2630" w:right="44" w:firstLine="424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Cautious screening was done to filter duplicate articles and research papers from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three research engines and the remainders were examined according to the criteria set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earlier. Some articles were removed as they did not grant full access for the reviewer. At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last, a complete reference list of selected articles was processed.</w:t>
      </w:r>
    </w:p>
    <w:p>
      <w:pPr>
        <w:autoSpaceDN w:val="0"/>
        <w:autoSpaceDE w:val="0"/>
        <w:widowControl/>
        <w:spacing w:line="250" w:lineRule="exact" w:before="204" w:after="0"/>
        <w:ind w:left="0" w:right="5986" w:firstLine="0"/>
        <w:jc w:val="righ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3.3. Phase 3: Eligibility</w:t>
      </w:r>
    </w:p>
    <w:p>
      <w:pPr>
        <w:autoSpaceDN w:val="0"/>
        <w:autoSpaceDE w:val="0"/>
        <w:widowControl/>
        <w:spacing w:line="252" w:lineRule="exact" w:before="54" w:after="0"/>
        <w:ind w:left="2624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Several conditions of eligibility and exclusion have been listed to identify qualified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articles. Firstly, the articles chosen were published within a period of five years (2017–2021)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to ensure the information is relevant and relates to the use of board games in modern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education. Next, articles published in other languages were excluded to prevent translation 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 xml:space="preserve">problems and hindrances in understanding. Literature types were taken into consideration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and book chapters, abstracts and non-journals are omitted. As the review emphasizes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field of education, articles that related to other areas such as engineering, business,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medicine and science were taken out.</w:t>
      </w:r>
    </w:p>
    <w:p>
      <w:pPr>
        <w:autoSpaceDN w:val="0"/>
        <w:autoSpaceDE w:val="0"/>
        <w:widowControl/>
        <w:spacing w:line="248" w:lineRule="exact" w:before="204" w:after="0"/>
        <w:ind w:left="0" w:right="6042" w:firstLine="0"/>
        <w:jc w:val="righ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3.4. Phase 4: Inclusion</w:t>
      </w:r>
    </w:p>
    <w:p>
      <w:pPr>
        <w:autoSpaceDN w:val="0"/>
        <w:autoSpaceDE w:val="0"/>
        <w:widowControl/>
        <w:spacing w:line="252" w:lineRule="exact" w:before="54" w:after="0"/>
        <w:ind w:left="263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At the final stage, only 35 articles that achieved the requirements were enclosed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for the review. The articles selected include quantitative research, qualitative research,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mixed method research, action research and experimental research published between </w:t>
      </w:r>
      <w:r>
        <w:rPr>
          <w:w w:val="98.87598037719727"/>
          <w:rFonts w:ascii="URWPalladioL" w:hAnsi="URWPalladioL" w:eastAsia="URWPalladioL"/>
          <w:b w:val="0"/>
          <w:i w:val="0"/>
          <w:color w:val="000000"/>
          <w:sz w:val="20"/>
        </w:rPr>
        <w:t xml:space="preserve">2017 and 2021. These criteria were taken into account to produce a high-quality systematic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review. The details of the data collection process using the PRISMA flow are summarized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 Figure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 xml:space="preserve"> 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248" w:after="0"/>
        <w:ind w:left="0" w:right="21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633469" cy="3200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469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4" w:lineRule="exact" w:before="130" w:after="0"/>
        <w:ind w:left="0" w:right="3126" w:firstLine="0"/>
        <w:jc w:val="righ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Figure 1.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Flow chart of the research article selection process.</w:t>
      </w:r>
    </w:p>
    <w:p>
      <w:pPr>
        <w:sectPr>
          <w:pgSz w:w="11906" w:h="16838"/>
          <w:pgMar w:top="520" w:right="676" w:bottom="544" w:left="716" w:header="720" w:footer="720" w:gutter="0"/>
          <w:cols w:space="720" w:num="1" w:equalWidth="0"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2"/>
        <w:gridCol w:w="5262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6 of 11</w:t>
            </w:r>
          </w:p>
        </w:tc>
      </w:tr>
    </w:tbl>
    <w:p>
      <w:pPr>
        <w:autoSpaceDN w:val="0"/>
        <w:autoSpaceDE w:val="0"/>
        <w:widowControl/>
        <w:spacing w:line="268" w:lineRule="exact" w:before="554" w:after="0"/>
        <w:ind w:left="2630" w:right="3744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 xml:space="preserve">4. Results and Discussion </w:t>
      </w:r>
      <w:r>
        <w:br/>
      </w:r>
      <w:r>
        <w:rPr>
          <w:rFonts w:ascii="URWPalladioL" w:hAnsi="URWPalladioL" w:eastAsia="URWPalladioL"/>
          <w:b w:val="0"/>
          <w:i/>
          <w:color w:val="000000"/>
          <w:sz w:val="20"/>
        </w:rPr>
        <w:t>4.1. Pupils’ Perceptions to the Use of Board Games</w:t>
      </w:r>
    </w:p>
    <w:p>
      <w:pPr>
        <w:autoSpaceDN w:val="0"/>
        <w:autoSpaceDE w:val="0"/>
        <w:widowControl/>
        <w:spacing w:line="250" w:lineRule="exact" w:before="58" w:after="0"/>
        <w:ind w:left="2624" w:right="0" w:firstLine="424"/>
        <w:jc w:val="left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 aggregated results of past studies related to pupils’ perceptions of board games are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reviewed in this section. Pupils’ perceptions to the use of board games were presented in the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scope of their learning attitude, learning competence and learning community development.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studies were classified into three categories: quantitative study, qualitative study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mixed-method study. The summary of the list of review studies is shown in Table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 xml:space="preserve"> 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232" w:after="144"/>
        <w:ind w:left="2624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Table 2.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List of reviewed studies of pupils’ perceptions to the use of board games.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22.0000000000005" w:type="dxa"/>
      </w:tblPr>
      <w:tblGrid>
        <w:gridCol w:w="2105"/>
        <w:gridCol w:w="2105"/>
        <w:gridCol w:w="2105"/>
        <w:gridCol w:w="2105"/>
        <w:gridCol w:w="2105"/>
      </w:tblGrid>
      <w:tr>
        <w:trPr>
          <w:trHeight w:hRule="exact" w:val="264"/>
        </w:trPr>
        <w:tc>
          <w:tcPr>
            <w:tcW w:type="dxa" w:w="1602"/>
            <w:vMerge w:val="restart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Methods</w:t>
            </w:r>
          </w:p>
        </w:tc>
        <w:tc>
          <w:tcPr>
            <w:tcW w:type="dxa" w:w="1640"/>
            <w:vMerge w:val="restart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0" w:after="0"/>
              <w:ind w:left="204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Author (Year)</w:t>
            </w:r>
          </w:p>
        </w:tc>
        <w:tc>
          <w:tcPr>
            <w:tcW w:type="dxa" w:w="1380"/>
            <w:vMerge w:val="restart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Attitude</w:t>
            </w:r>
          </w:p>
        </w:tc>
        <w:tc>
          <w:tcPr>
            <w:tcW w:type="dxa" w:w="1620"/>
            <w:vMerge w:val="restart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0" w:after="0"/>
              <w:ind w:left="366" w:right="0" w:firstLine="0"/>
              <w:jc w:val="lef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Competence</w:t>
            </w:r>
          </w:p>
        </w:tc>
        <w:tc>
          <w:tcPr>
            <w:tcW w:type="dxa" w:w="1614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Community</w:t>
            </w:r>
          </w:p>
        </w:tc>
      </w:tr>
      <w:tr>
        <w:trPr>
          <w:trHeight w:hRule="exact" w:val="276"/>
        </w:trPr>
        <w:tc>
          <w:tcPr>
            <w:tcW w:type="dxa" w:w="2105"/>
            <w:vMerge/>
            <w:tcBorders>
              <w:top w:sz="6.375999927520752" w:val="single" w:color="#000000"/>
              <w:bottom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6.375999927520752" w:val="single" w:color="#000000"/>
              <w:bottom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6.375999927520752" w:val="single" w:color="#000000"/>
              <w:bottom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6.375999927520752" w:val="single" w:color="#000000"/>
              <w:bottom w:sz="2.3919999599456787" w:val="single" w:color="#000000"/>
            </w:tcBorders>
          </w:tcPr>
          <w:p/>
        </w:tc>
        <w:tc>
          <w:tcPr>
            <w:tcW w:type="dxa" w:w="1614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8"/>
              </w:rPr>
              <w:t>Development</w:t>
            </w:r>
          </w:p>
        </w:tc>
      </w:tr>
      <w:tr>
        <w:trPr>
          <w:trHeight w:hRule="exact" w:val="244"/>
        </w:trPr>
        <w:tc>
          <w:tcPr>
            <w:tcW w:type="dxa" w:w="1602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Quantitative</w:t>
            </w:r>
          </w:p>
        </w:tc>
        <w:tc>
          <w:tcPr>
            <w:tcW w:type="dxa" w:w="16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2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32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2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14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6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36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84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136"/>
        </w:trPr>
        <w:tc>
          <w:tcPr>
            <w:tcW w:type="dxa" w:w="1602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study, n = 5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04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34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88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35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2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52"/>
        </w:trPr>
        <w:tc>
          <w:tcPr>
            <w:tcW w:type="dxa" w:w="1602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0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Qualitative</w:t>
            </w:r>
          </w:p>
        </w:tc>
        <w:tc>
          <w:tcPr>
            <w:tcW w:type="dxa" w:w="16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36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98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14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228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27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29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92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37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106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38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1602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study, n = 9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/>
          </w:tcPr>
          <w:p/>
        </w:tc>
      </w:tr>
      <w:tr>
        <w:trPr>
          <w:trHeight w:hRule="exact" w:val="214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39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26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216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14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276"/>
        </w:trPr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40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bottom w:sz="2.3919999599456787" w:val="single" w:color="#000000"/>
            </w:tcBorders>
          </w:tcPr>
          <w:p/>
        </w:tc>
      </w:tr>
      <w:tr>
        <w:trPr>
          <w:trHeight w:hRule="exact" w:val="262"/>
        </w:trPr>
        <w:tc>
          <w:tcPr>
            <w:tcW w:type="dxa" w:w="1602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Mixed method,</w:t>
            </w:r>
          </w:p>
        </w:tc>
        <w:tc>
          <w:tcPr>
            <w:tcW w:type="dxa" w:w="16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28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42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14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</w:tr>
      <w:tr>
        <w:trPr>
          <w:trHeight w:hRule="exact" w:val="128"/>
        </w:trPr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41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</w:tr>
      <w:tr>
        <w:trPr>
          <w:trHeight w:hRule="exact" w:val="74"/>
        </w:trPr>
        <w:tc>
          <w:tcPr>
            <w:tcW w:type="dxa" w:w="1602"/>
            <w:vMerge w:val="restart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n = 3</w:t>
            </w:r>
          </w:p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/>
          </w:tcPr>
          <w:p/>
        </w:tc>
        <w:tc>
          <w:tcPr>
            <w:tcW w:type="dxa" w:w="2105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2105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</w:tr>
      <w:tr>
        <w:trPr>
          <w:trHeight w:hRule="exact" w:val="294"/>
        </w:trPr>
        <w:tc>
          <w:tcPr>
            <w:tcW w:type="dxa" w:w="2105"/>
            <w:vMerge/>
            <w:tcBorders>
              <w:bottom w:sz="6.375999927520752" w:val="single" w:color="#000000"/>
            </w:tcBorders>
          </w:tcPr>
          <w:p/>
        </w:tc>
        <w:tc>
          <w:tcPr>
            <w:tcW w:type="dxa" w:w="16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0" w:right="73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8"/>
              </w:rPr>
              <w:t>42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]</w:t>
            </w:r>
          </w:p>
        </w:tc>
        <w:tc>
          <w:tcPr>
            <w:tcW w:type="dxa" w:w="13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16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0" w:right="6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/</w:t>
            </w:r>
          </w:p>
        </w:tc>
        <w:tc>
          <w:tcPr>
            <w:tcW w:type="dxa" w:w="2105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50" w:lineRule="exact" w:before="260" w:after="0"/>
        <w:ind w:left="263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 collection of 17 articles and journals focused on pupils’ perceptions of the use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board games were reviewed. Among them were five quantitative studies, nine qualitative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studies and three mixed-method studies. This systematic review explained pupils’ per-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ceptions in terms of their learning attitude, learning competence and learning community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development. Pupils’ learning attitude was recorded as the highest among these three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aspects. Thirteen papers reported that pupils agreed that board games increased their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motivation in speaking lessons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21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28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34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36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42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In eight studies, pupils revealed that 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their speaking competence improved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32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34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35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37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41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42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 xml:space="preserve">]. Lastly, six studies identified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that pupils proclaimed that board games enhanced their learning community develop-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ment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2" w:lineRule="exact" w:before="0" w:after="0"/>
        <w:ind w:left="263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>Fithriani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identified that pupils themselves reported that board games assisted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them in gaining confidence in using English during speaking lessons. Board games lowered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their speaking anxiety and provided a game-like atmosphere which enabled them to express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their ideas freely within the context provided. Similar findings were depicted in the studies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of Łodzikowski &amp; Jekiel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Gonzalo-Iglesia et al.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The former delineated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as alternatives that promoted active participation in a speaking lessons, while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latter portrayed board games as activating catalysts that motivated pupils to speak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classroom. For instance, pupils proclaimed that the use of board game, Snakes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Ladders, reduced the boredom of a speaking lesson as it was an engaging and fun game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that motivated them to speak confidently in front of the class; they enjoyed many aspects of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the game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38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From pupils’ perspectives, board games made speaking lessons fun, reduced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their shyness in speaking and lessened their fear of making flaws while speaking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Pupils were encouraged to speak as board games replaced drilling practices in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lessons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tabs>
          <w:tab w:pos="3054" w:val="left"/>
        </w:tabs>
        <w:autoSpaceDE w:val="0"/>
        <w:widowControl/>
        <w:spacing w:line="252" w:lineRule="exact" w:before="0" w:after="0"/>
        <w:ind w:left="262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Apart from the change in learning attitude, there was a shift in pupils’ speaking com-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petence in terms of grammar, pronunciation and fluency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32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34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35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41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42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]. Pupils</w:t>
      </w:r>
    </w:p>
    <w:p>
      <w:pPr>
        <w:sectPr>
          <w:pgSz w:w="11906" w:h="16838"/>
          <w:pgMar w:top="520" w:right="666" w:bottom="564" w:left="716" w:header="720" w:footer="720" w:gutter="0"/>
          <w:cols w:space="720" w:num="1" w:equalWidth="0">
            <w:col w:w="10524" w:space="0"/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5264"/>
        <w:gridCol w:w="5264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7 of 11</w:t>
            </w:r>
          </w:p>
        </w:tc>
      </w:tr>
    </w:tbl>
    <w:p>
      <w:pPr>
        <w:autoSpaceDN w:val="0"/>
        <w:autoSpaceDE w:val="0"/>
        <w:widowControl/>
        <w:spacing w:line="252" w:lineRule="exact" w:before="566" w:after="0"/>
        <w:ind w:left="263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claimed that board and dice games enabled them to learn how to use tenses, passive voice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and conditional sentences in their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Pupils admitted that they actively converted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sentences in the board games to their past tense forms and spoke the sentences while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they played the game with their peers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acquired the grammar in the speech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subconsciously and improved their speech accuracy gradually through board games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Pupils also perceived board games as a great tool that improved their vocabulary, fluency,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grammar and pronunciation in their speech as their scores in the speaking post-test were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higher when compared to the pre-test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also viewed board games as helpful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 improving their English pronunciation in terms of stress and intonation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expressed that board games improved their fluency in speaking as they enjoyed playing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 games and forget their fear of making errors in their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0" w:lineRule="exact" w:before="2" w:after="0"/>
        <w:ind w:left="2634" w:right="46" w:firstLine="424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Through board games, pupils’ learning community development was enhanced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terms of their social ability and communication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Pupils’ social skills were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improved through board games as they learnt to tolerate losing the games, listened to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others’ opinions and shared their points of view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expressed their preferences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for board games because they promoted collaborative learning and pupils could socially 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interact as well as develop teamwork skills with peers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28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]. Karasimos’ study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29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 xml:space="preserve">] revealed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that pupils showed an active participation in board games as they loved to work with peers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 groups.</w:t>
      </w:r>
    </w:p>
    <w:p>
      <w:pPr>
        <w:autoSpaceDN w:val="0"/>
        <w:autoSpaceDE w:val="0"/>
        <w:widowControl/>
        <w:spacing w:line="250" w:lineRule="exact" w:before="2" w:after="0"/>
        <w:ind w:left="2634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Based on the above findings, board games are proven to increase motivation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speaking, improve speaking competence and enhance social interaction from pupils’ per-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spectives.</w:t>
      </w:r>
    </w:p>
    <w:p>
      <w:pPr>
        <w:autoSpaceDN w:val="0"/>
        <w:autoSpaceDE w:val="0"/>
        <w:widowControl/>
        <w:spacing w:line="248" w:lineRule="exact" w:before="204" w:after="0"/>
        <w:ind w:left="0" w:right="2412" w:firstLine="0"/>
        <w:jc w:val="right"/>
      </w:pPr>
      <w:r>
        <w:rPr>
          <w:rFonts w:ascii="URWPalladioL" w:hAnsi="URWPalladioL" w:eastAsia="URWPalladioL"/>
          <w:b w:val="0"/>
          <w:i/>
          <w:color w:val="000000"/>
          <w:sz w:val="20"/>
        </w:rPr>
        <w:t>4.2. Usefulness of Board Games in Improving Pupils’ Speaking Skill</w:t>
      </w:r>
    </w:p>
    <w:p>
      <w:pPr>
        <w:autoSpaceDN w:val="0"/>
        <w:autoSpaceDE w:val="0"/>
        <w:widowControl/>
        <w:spacing w:line="252" w:lineRule="exact" w:before="54" w:after="0"/>
        <w:ind w:left="2628" w:right="0" w:firstLine="43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selected studies have reported the usefulness of board games in improving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pupils’ speaking skills. The studies are classified into three categories: quantitative study,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qualitative study and mixed-method study. Table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 xml:space="preserve"> 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 displays a list of studies related to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usefulness of board games.</w:t>
      </w:r>
    </w:p>
    <w:p>
      <w:pPr>
        <w:autoSpaceDN w:val="0"/>
        <w:autoSpaceDE w:val="0"/>
        <w:widowControl/>
        <w:spacing w:line="222" w:lineRule="exact" w:before="250" w:after="142"/>
        <w:ind w:left="0" w:right="0" w:firstLine="0"/>
        <w:jc w:val="center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Table 3.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List of reviewed studies on the usefulness of board games in improving pupils’ speaking skills.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04"/>
        <w:gridCol w:w="1504"/>
        <w:gridCol w:w="1504"/>
        <w:gridCol w:w="1504"/>
        <w:gridCol w:w="1504"/>
        <w:gridCol w:w="1504"/>
        <w:gridCol w:w="1504"/>
      </w:tblGrid>
      <w:tr>
        <w:trPr>
          <w:trHeight w:hRule="exact" w:val="290"/>
        </w:trPr>
        <w:tc>
          <w:tcPr>
            <w:tcW w:type="dxa" w:w="2168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802" w:firstLine="0"/>
              <w:jc w:val="righ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124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Authors</w:t>
            </w:r>
          </w:p>
        </w:tc>
        <w:tc>
          <w:tcPr>
            <w:tcW w:type="dxa" w:w="136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Exposure</w:t>
            </w:r>
          </w:p>
        </w:tc>
        <w:tc>
          <w:tcPr>
            <w:tcW w:type="dxa" w:w="140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232" w:firstLine="0"/>
              <w:jc w:val="right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Motivation</w:t>
            </w:r>
          </w:p>
        </w:tc>
        <w:tc>
          <w:tcPr>
            <w:tcW w:type="dxa" w:w="160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Pronunciation</w:t>
            </w:r>
          </w:p>
        </w:tc>
        <w:tc>
          <w:tcPr>
            <w:tcW w:type="dxa" w:w="128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Fluency</w:t>
            </w:r>
          </w:p>
        </w:tc>
        <w:tc>
          <w:tcPr>
            <w:tcW w:type="dxa" w:w="1434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>Grammar</w:t>
            </w:r>
          </w:p>
        </w:tc>
      </w:tr>
      <w:tr>
        <w:trPr>
          <w:trHeight w:hRule="exact" w:val="218"/>
        </w:trPr>
        <w:tc>
          <w:tcPr>
            <w:tcW w:type="dxa" w:w="2168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4" w:after="0"/>
              <w:ind w:left="25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Action Research, n = 3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15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0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60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04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31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44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60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</w:tr>
      <w:tr>
        <w:trPr>
          <w:trHeight w:hRule="exact" w:val="232"/>
        </w:trPr>
        <w:tc>
          <w:tcPr>
            <w:tcW w:type="dxa" w:w="2168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Experimental,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44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1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0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6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100"/>
        </w:trPr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45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2168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95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n = 3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50"/>
        </w:trPr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2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46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34"/>
        </w:trPr>
        <w:tc>
          <w:tcPr>
            <w:tcW w:type="dxa" w:w="2168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20" w:after="0"/>
              <w:ind w:left="17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Quantitative study, n = 4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47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0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14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176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17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00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48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40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44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49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60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434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16"/>
        </w:trPr>
        <w:tc>
          <w:tcPr>
            <w:tcW w:type="dxa" w:w="2168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4" w:after="0"/>
              <w:ind w:left="222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Qualitative study, n = 3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50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0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34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08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40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42"/>
        </w:trPr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2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52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30"/>
        </w:trPr>
        <w:tc>
          <w:tcPr>
            <w:tcW w:type="dxa" w:w="2168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Mixed-method,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4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0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4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34"/>
            <w:vMerge w:val="restart"/>
            <w:tcBorders>
              <w:top w:sz="2.3919999599456787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16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100"/>
        </w:trPr>
        <w:tc>
          <w:tcPr>
            <w:tcW w:type="dxa" w:w="1504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7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400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2168"/>
            <w:vMerge w:val="restart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0" w:right="95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n = 3</w:t>
            </w:r>
          </w:p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/>
          </w:tcPr>
          <w:p/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50"/>
        </w:trPr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24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54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504"/>
            <w:vMerge/>
            <w:tcBorders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2.3919999599456787" w:val="single" w:color="#000000"/>
            </w:tcBorders>
          </w:tcPr>
          <w:p/>
        </w:tc>
      </w:tr>
      <w:tr>
        <w:trPr>
          <w:trHeight w:hRule="exact" w:val="230"/>
        </w:trPr>
        <w:tc>
          <w:tcPr>
            <w:tcW w:type="dxa" w:w="2168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0" w:right="654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Research and</w:t>
            </w:r>
          </w:p>
        </w:tc>
        <w:tc>
          <w:tcPr>
            <w:tcW w:type="dxa" w:w="124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55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360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00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0" w:after="0"/>
              <w:ind w:left="0" w:right="592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600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280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34"/>
            <w:vMerge w:val="restart"/>
            <w:tcBorders>
              <w:top w:sz="2.3919999599456787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0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/</w:t>
            </w:r>
          </w:p>
        </w:tc>
      </w:tr>
      <w:tr>
        <w:trPr>
          <w:trHeight w:hRule="exact" w:val="252"/>
        </w:trPr>
        <w:tc>
          <w:tcPr>
            <w:tcW w:type="dxa" w:w="216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36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development, n = 2</w:t>
            </w:r>
          </w:p>
        </w:tc>
        <w:tc>
          <w:tcPr>
            <w:tcW w:type="dxa" w:w="12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0" w:right="0" w:firstLine="0"/>
              <w:jc w:val="center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URWPalladioL" w:hAnsi="URWPalladioL" w:eastAsia="URWPalladioL"/>
                <w:b w:val="0"/>
                <w:i w:val="0"/>
                <w:color w:val="0774B7"/>
                <w:sz w:val="16"/>
              </w:rPr>
              <w:t>56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1504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  <w:tc>
          <w:tcPr>
            <w:tcW w:type="dxa" w:w="1504"/>
            <w:vMerge/>
            <w:tcBorders>
              <w:top w:sz="2.3919999599456787" w:val="single" w:color="#000000"/>
              <w:bottom w:sz="6.37599992752075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52" w:lineRule="exact" w:before="294" w:after="0"/>
        <w:ind w:left="2628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Eighteen studies emphasising the usefulness of board games were reviewed. These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studies includes three action researches, three experimental researches, four quantitative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studies, three qualitative studies, three mixed-method studies and two research and de-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velopment studies. This systematic review examined the usefulness of board games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improving pupils’ speaking in terms of exposure, motivation, pronunciation, fluency and </w:t>
      </w:r>
      <w:r>
        <w:rPr>
          <w:w w:val="98.82577896118164"/>
          <w:rFonts w:ascii="URWPalladioL" w:hAnsi="URWPalladioL" w:eastAsia="URWPalladioL"/>
          <w:b w:val="0"/>
          <w:i w:val="0"/>
          <w:color w:val="000000"/>
          <w:sz w:val="20"/>
        </w:rPr>
        <w:t>grammar. Pupils’ improvement in pronunciation was recorded as the highest among these</w:t>
      </w:r>
    </w:p>
    <w:p>
      <w:pPr>
        <w:sectPr>
          <w:pgSz w:w="11906" w:h="16838"/>
          <w:pgMar w:top="520" w:right="666" w:bottom="588" w:left="712" w:header="720" w:footer="720" w:gutter="0"/>
          <w:cols w:space="720" w:num="1" w:equalWidth="0">
            <w:col w:w="10528" w:space="0"/>
            <w:col w:w="10524" w:space="0"/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2"/>
        <w:gridCol w:w="5262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8 of 11</w:t>
            </w:r>
          </w:p>
        </w:tc>
      </w:tr>
    </w:tbl>
    <w:p>
      <w:pPr>
        <w:autoSpaceDN w:val="0"/>
        <w:autoSpaceDE w:val="0"/>
        <w:widowControl/>
        <w:spacing w:line="250" w:lineRule="exact" w:before="568" w:after="0"/>
        <w:ind w:left="2624" w:right="0" w:firstLine="6"/>
        <w:jc w:val="left"/>
      </w:pP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>five criteria. It was reported in 11 studies that pupils’ pronunciation improved after the im-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plementation of board games in speaking lessons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15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31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43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44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50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52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54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55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Furthermore,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through board games, pupils were able to speak fluently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and make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less grammatical errors in their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–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In addition to this,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board games exposed pupils to a myriad of speaking opportunities in different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contexts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motivated pupils to speak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0" w:lineRule="exact" w:before="0" w:after="0"/>
        <w:ind w:left="2620" w:right="54" w:firstLine="424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Board games were proven to be efficacious in improving pronunciation in terms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clarity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31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intelligibility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were able to identify, blend and segment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individual sounds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48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], know the differences between phonemes and pronounce the ending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sounds /s/, /z/ and /iz/ clearly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were able to articulate the speech sound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with the right pitch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], stress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50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intonation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with reference to some standard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correctness and acceptability. Repetition of words mentioned by peers in the board games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facilitated pupils’ memory retention of the words’ pronunciations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2" w:lineRule="exact" w:before="2" w:after="0"/>
        <w:ind w:left="2620" w:right="0" w:firstLine="424"/>
        <w:jc w:val="left"/>
      </w:pPr>
      <w:r>
        <w:rPr>
          <w:w w:val="98.72529029846191"/>
          <w:rFonts w:ascii="URWPalladioL" w:hAnsi="URWPalladioL" w:eastAsia="URWPalladioL"/>
          <w:b w:val="0"/>
          <w:i w:val="0"/>
          <w:color w:val="000000"/>
          <w:sz w:val="20"/>
        </w:rPr>
        <w:t xml:space="preserve">Board games also caused a significant improvement in fluency. Pupils’ speech fluency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showed a huge progression as their speed of speech production was maximized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],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grammatical accuracy was increased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and they could further elaborate on their points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of view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could understand the conversation and respond to their peers using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comprehensible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47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>] as well as express their opinions without hindrances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48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]. Halts, </w:t>
      </w:r>
      <w:r>
        <w:rPr>
          <w:w w:val="98.9763069152832"/>
          <w:rFonts w:ascii="URWPalladioL" w:hAnsi="URWPalladioL" w:eastAsia="URWPalladioL"/>
          <w:b w:val="0"/>
          <w:i w:val="0"/>
          <w:color w:val="000000"/>
          <w:sz w:val="20"/>
        </w:rPr>
        <w:t xml:space="preserve">repetitions, fillers and sentence fragments were reduced in the speech and communication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was not impeded by minor grammatical errors and language limitations.</w:t>
      </w:r>
    </w:p>
    <w:p>
      <w:pPr>
        <w:autoSpaceDN w:val="0"/>
        <w:autoSpaceDE w:val="0"/>
        <w:widowControl/>
        <w:spacing w:line="250" w:lineRule="exact" w:before="0" w:after="0"/>
        <w:ind w:left="2620" w:right="46" w:firstLine="424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Apart from the improvement in speech fluency, board games assisted pupils in using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grammatical forms such as verb tenses, linking words and conjunctions in their speech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correctly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49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52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began to use complex and compound sentences in their speech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instead of simple sentences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44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Pupils were aware of the units and patterns used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the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48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developed a relatively high degree of grammatical control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They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would select the right tenses and word class while conversing with their peers in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games.</w:t>
      </w:r>
    </w:p>
    <w:p>
      <w:pPr>
        <w:autoSpaceDN w:val="0"/>
        <w:autoSpaceDE w:val="0"/>
        <w:widowControl/>
        <w:spacing w:line="252" w:lineRule="exact" w:before="0" w:after="0"/>
        <w:ind w:left="2620" w:right="0" w:firstLine="424"/>
        <w:jc w:val="left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Board games were regarded as tools that exposed pupils to various chances to practice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speaking the target language naturally. Pupils were connected to real-life situations that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provided meaningful learning opportunities through board games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45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,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], thus stimu-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lating them to develop their creativity and thinking into a wider area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Pictures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words provided on the cards in board games enabled pupils to develop ideas for their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speech content and pupils gained experience using the language naturally for their daily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communication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0" w:lineRule="exact" w:before="2" w:after="0"/>
        <w:ind w:left="2624" w:right="0" w:firstLine="424"/>
        <w:jc w:val="left"/>
      </w:pP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It was notable that pupils were keen on speaking after board games were implemented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their speaking lessons. A few studies indicated that board games created a positive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learning environment with a comfortable atmosphere that reduced apprehension in com-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munication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53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 and boosted confidence in speech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Moreover, board games required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pupils to gather in small groups to play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], so pupils were able to learn through their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friends’ speaking. The stress-free ambience offered by board games allowed pupils to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forget their shyness and express ideas naturally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46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]. As pupils were familiarised with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concepts, rules and regulations of the board games such as Monopoly and Snakes and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Ladders, their anxiety and phobia in speaking was minimized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51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] and they felt more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encouraged and confident in conveying their opinions to their friends in the games [</w:t>
      </w:r>
      <w:r>
        <w:rPr>
          <w:rFonts w:ascii="URWPalladioL" w:hAnsi="URWPalladioL" w:eastAsia="URWPalladioL"/>
          <w:b w:val="0"/>
          <w:i w:val="0"/>
          <w:color w:val="0774B7"/>
          <w:sz w:val="20"/>
        </w:rPr>
        <w:t>17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46" w:lineRule="exact" w:before="206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>5. Conclusions</w:t>
      </w:r>
    </w:p>
    <w:p>
      <w:pPr>
        <w:autoSpaceDN w:val="0"/>
        <w:autoSpaceDE w:val="0"/>
        <w:widowControl/>
        <w:spacing w:line="252" w:lineRule="exact" w:before="56" w:after="0"/>
        <w:ind w:left="2620" w:right="0" w:firstLine="424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To summarize, this systematic literature review analyzed pupils’ perceptions on the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use of board games and the usefulness of board games in improving pupils’ speaking skills. </w:t>
      </w:r>
      <w:r>
        <w:rPr>
          <w:w w:val="98.9763069152832"/>
          <w:rFonts w:ascii="URWPalladioL" w:hAnsi="URWPalladioL" w:eastAsia="URWPalladioL"/>
          <w:b w:val="0"/>
          <w:i w:val="0"/>
          <w:color w:val="000000"/>
          <w:sz w:val="20"/>
        </w:rPr>
        <w:t xml:space="preserve">Pupils’ perceptions were analyzed in terms of their learning attitude, learning competence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and learning community development. The results showed that pupils enjoyed board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games as the fun and relaxing gaming atmosphere encouraged them to speak English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without feeling inferior or the fear of making mistakes. The nature of board games enabled </w:t>
      </w:r>
      <w:r>
        <w:rPr>
          <w:w w:val="98.87598037719727"/>
          <w:rFonts w:ascii="URWPalladioL" w:hAnsi="URWPalladioL" w:eastAsia="URWPalladioL"/>
          <w:b w:val="0"/>
          <w:i w:val="0"/>
          <w:color w:val="000000"/>
          <w:sz w:val="20"/>
        </w:rPr>
        <w:t xml:space="preserve">fun learning and motivated pupils to speak, as they differed from other speaking activities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that constrained pupils to learn English according to norms and mundane routines. Addi-</w:t>
      </w:r>
    </w:p>
    <w:p>
      <w:pPr>
        <w:sectPr>
          <w:pgSz w:w="11906" w:h="16838"/>
          <w:pgMar w:top="520" w:right="666" w:bottom="680" w:left="716" w:header="720" w:footer="720" w:gutter="0"/>
          <w:cols w:space="720" w:num="1" w:equalWidth="0">
            <w:col w:w="10524" w:space="0"/>
            <w:col w:w="10528" w:space="0"/>
            <w:col w:w="10524" w:space="0"/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4"/>
        <w:gridCol w:w="5264"/>
      </w:tblGrid>
      <w:tr>
        <w:trPr>
          <w:trHeight w:hRule="exact" w:val="306"/>
        </w:trPr>
        <w:tc>
          <w:tcPr>
            <w:tcW w:type="dxa" w:w="594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9 of 11</w:t>
            </w:r>
          </w:p>
        </w:tc>
      </w:tr>
    </w:tbl>
    <w:p>
      <w:pPr>
        <w:autoSpaceDN w:val="0"/>
        <w:autoSpaceDE w:val="0"/>
        <w:widowControl/>
        <w:spacing w:line="252" w:lineRule="exact" w:before="566" w:after="0"/>
        <w:ind w:left="2624" w:right="0" w:firstLine="0"/>
        <w:jc w:val="left"/>
      </w:pPr>
      <w:r>
        <w:rPr>
          <w:w w:val="98.82577896118164"/>
          <w:rFonts w:ascii="URWPalladioL" w:hAnsi="URWPalladioL" w:eastAsia="URWPalladioL"/>
          <w:b w:val="0"/>
          <w:i w:val="0"/>
          <w:color w:val="000000"/>
          <w:sz w:val="20"/>
        </w:rPr>
        <w:t xml:space="preserve">tionally, pupils agreed that board games enhanced their learning community development </w:t>
      </w:r>
      <w:r>
        <w:rPr>
          <w:w w:val="98.87598037719727"/>
          <w:rFonts w:ascii="URWPalladioL" w:hAnsi="URWPalladioL" w:eastAsia="URWPalladioL"/>
          <w:b w:val="0"/>
          <w:i w:val="0"/>
          <w:color w:val="000000"/>
          <w:sz w:val="20"/>
        </w:rPr>
        <w:t xml:space="preserve">as they had more social interactions with their peers and learned the viewpoints shared by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their peers during the games. The studies highlighted in the systematic review also proved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that board games were impressive tools that improved pupils’ speaking competence in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terms of pronunciation, fluency and grammar. The main speaking obstacles like lack of </w:t>
      </w:r>
      <w:r>
        <w:rPr>
          <w:w w:val="98.9261531829834"/>
          <w:rFonts w:ascii="URWPalladioL" w:hAnsi="URWPalladioL" w:eastAsia="URWPalladioL"/>
          <w:b w:val="0"/>
          <w:i w:val="0"/>
          <w:color w:val="000000"/>
          <w:sz w:val="20"/>
        </w:rPr>
        <w:t xml:space="preserve">vocabulary and difficulties in pronunciation decreased. It was discovered that pupils were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able to speak with correct pronunciation using correct grammatical forms without many </w:t>
      </w:r>
      <w:r>
        <w:rPr>
          <w:w w:val="98.67501258850098"/>
          <w:rFonts w:ascii="URWPalladioL" w:hAnsi="URWPalladioL" w:eastAsia="URWPalladioL"/>
          <w:b w:val="0"/>
          <w:i w:val="0"/>
          <w:color w:val="000000"/>
          <w:sz w:val="20"/>
        </w:rPr>
        <w:t xml:space="preserve">pauses during the games. Out of the 18 studies reviewed on the usefulness of board games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in improving pupils’ speaking skills, 11 mentioned that board games improved pupils’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pronunciation, 8 mentioned that pupils’ fluency developed and 10 mentioned pupils were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aware of the grammar in their speech. The articles gathered in this systematic literature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review answered both research questions in the current study and evidently showed that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board games were effective in improving pupils’ speaking skills. Therefore, educators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should integrate board games into teaching methods to arouse and cultivate pupils’ inter-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ests to speak English in their daily communication and help pupils to master their speaking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skills.</w:t>
      </w:r>
    </w:p>
    <w:p>
      <w:pPr>
        <w:autoSpaceDN w:val="0"/>
        <w:autoSpaceDE w:val="0"/>
        <w:widowControl/>
        <w:spacing w:line="248" w:lineRule="exact" w:before="204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>6. Limitations and Recommendations</w:t>
      </w:r>
    </w:p>
    <w:p>
      <w:pPr>
        <w:autoSpaceDN w:val="0"/>
        <w:autoSpaceDE w:val="0"/>
        <w:widowControl/>
        <w:spacing w:line="252" w:lineRule="exact" w:before="54" w:after="0"/>
        <w:ind w:left="2624" w:right="58" w:firstLine="424"/>
        <w:jc w:val="both"/>
      </w:pP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This systematic review offers information to educators in Malaysia on the use of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board games in improving pupils’ speaking skill. Most articles portrayed that pupils gave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positive feedback on the use of board games to learn speaking. The findings could shed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light on the implementation of board games to teach speaking in the classroom. There are a </w:t>
      </w:r>
      <w:r>
        <w:rPr>
          <w:w w:val="98.9261531829834"/>
          <w:rFonts w:ascii="URWPalladioL" w:hAnsi="URWPalladioL" w:eastAsia="URWPalladioL"/>
          <w:b w:val="0"/>
          <w:i w:val="0"/>
          <w:color w:val="000000"/>
          <w:sz w:val="20"/>
        </w:rPr>
        <w:t xml:space="preserve">few limitations worth discussing in this review that can be further explored by researchers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in the future. Firstly, this review only managed to analyze 35 articles from ERIC, Google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Scholar and SAGE journals. Secondly, the review revolves around articles that report </w:t>
      </w:r>
      <w:r>
        <w:rPr>
          <w:w w:val="98.62470626831055"/>
          <w:rFonts w:ascii="URWPalladioL" w:hAnsi="URWPalladioL" w:eastAsia="URWPalladioL"/>
          <w:b w:val="0"/>
          <w:i w:val="0"/>
          <w:color w:val="000000"/>
          <w:sz w:val="20"/>
        </w:rPr>
        <w:t xml:space="preserve">students’ perceptions on the use of board games. It is recommended that future researchers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explore more databases to obtain findings from different sources to enrich and expand the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study. Hopefully, future studies can look into both teachers’ and students’ perceptions on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 xml:space="preserve">the usefulness of board games in teaching and speaking so that other educators can learn </w:t>
      </w:r>
      <w:r>
        <w:rPr>
          <w:rFonts w:ascii="URWPalladioL" w:hAnsi="URWPalladioL" w:eastAsia="URWPalladioL"/>
          <w:b w:val="0"/>
          <w:i w:val="0"/>
          <w:color w:val="000000"/>
          <w:sz w:val="20"/>
        </w:rPr>
        <w:t>opinions from both perspectives.</w:t>
      </w:r>
    </w:p>
    <w:p>
      <w:pPr>
        <w:autoSpaceDN w:val="0"/>
        <w:autoSpaceDE w:val="0"/>
        <w:widowControl/>
        <w:spacing w:line="234" w:lineRule="exact" w:before="238" w:after="0"/>
        <w:ind w:left="2630" w:right="0" w:hanging="8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Author Contributions:</w:t>
      </w:r>
      <w:r>
        <w:rPr>
          <w:w w:val="98.77621332804361"/>
          <w:rFonts w:ascii="URWPalladioL" w:hAnsi="URWPalladioL" w:eastAsia="URWPalladioL"/>
          <w:b w:val="0"/>
          <w:i w:val="0"/>
          <w:color w:val="000000"/>
          <w:sz w:val="18"/>
        </w:rPr>
        <w:t xml:space="preserve"> All authors contributed to several aspects of the study, specifically, conceptu-</w:t>
      </w:r>
      <w:r>
        <w:rPr>
          <w:w w:val="98.92681969536675"/>
          <w:rFonts w:ascii="URWPalladioL" w:hAnsi="URWPalladioL" w:eastAsia="URWPalladioL"/>
          <w:b w:val="0"/>
          <w:i w:val="0"/>
          <w:color w:val="000000"/>
          <w:sz w:val="18"/>
        </w:rPr>
        <w:t xml:space="preserve">alization, C.H.T.W. and M.M.Y.; methodology, M.M.Y.; validation, M.M.Y.; formal analysis, C.H.T.W.;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investigation, C.H.T.W.; resources, M.M.Y.; data curation, C.H.T.W. and M.M.Y.; writing— original 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draft preparation, C.H.T.W.; writing—review and editing, C.H.T.W. and M.M.Y.; supervision, M.M.Y.;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project administration, C.H.T.W.; funding acquisition, M.M.Y. Both authors have read and agreed to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the published version of the manuscript.</w:t>
      </w:r>
    </w:p>
    <w:p>
      <w:pPr>
        <w:autoSpaceDN w:val="0"/>
        <w:autoSpaceDE w:val="0"/>
        <w:widowControl/>
        <w:spacing w:line="232" w:lineRule="exact" w:before="124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Funding: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 This research was funded by Universiti Kebangsaan Malaysia under research grant number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GG-2019-006 and the APC was funded by Universiti Kebangsaan Malaysia.</w:t>
      </w:r>
    </w:p>
    <w:p>
      <w:pPr>
        <w:autoSpaceDN w:val="0"/>
        <w:autoSpaceDE w:val="0"/>
        <w:widowControl/>
        <w:spacing w:line="222" w:lineRule="exact" w:before="134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Institutional Review Board Statement: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Not applicable.</w:t>
      </w:r>
    </w:p>
    <w:p>
      <w:pPr>
        <w:autoSpaceDN w:val="0"/>
        <w:autoSpaceDE w:val="0"/>
        <w:widowControl/>
        <w:spacing w:line="222" w:lineRule="exact" w:before="132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Informed Consent Statement: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 Informed consent was obtained from all subjects involved in this study.</w:t>
      </w:r>
    </w:p>
    <w:p>
      <w:pPr>
        <w:autoSpaceDN w:val="0"/>
        <w:autoSpaceDE w:val="0"/>
        <w:widowControl/>
        <w:spacing w:line="222" w:lineRule="exact" w:before="132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Data Availability Statement: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Not applicable.</w:t>
      </w:r>
    </w:p>
    <w:p>
      <w:pPr>
        <w:autoSpaceDN w:val="0"/>
        <w:autoSpaceDE w:val="0"/>
        <w:widowControl/>
        <w:spacing w:line="222" w:lineRule="exact" w:before="132" w:after="0"/>
        <w:ind w:left="2630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Conflicts of Interest: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The authors declare no conflict of interest.</w:t>
      </w:r>
    </w:p>
    <w:p>
      <w:pPr>
        <w:autoSpaceDN w:val="0"/>
        <w:autoSpaceDE w:val="0"/>
        <w:widowControl/>
        <w:spacing w:line="246" w:lineRule="exact" w:before="208" w:after="0"/>
        <w:ind w:left="4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20"/>
        </w:rPr>
        <w:t>References</w:t>
      </w:r>
    </w:p>
    <w:p>
      <w:pPr>
        <w:autoSpaceDN w:val="0"/>
        <w:tabs>
          <w:tab w:pos="434" w:val="left"/>
        </w:tabs>
        <w:autoSpaceDE w:val="0"/>
        <w:widowControl/>
        <w:spacing w:line="224" w:lineRule="exact" w:before="58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Lie, W.; Yunus, M.M. Pen pals are now in your fingertips—A global collaboration online project to develop writing skills.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Creat.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28" w:lineRule="exact" w:before="2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Educ.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2491–2504.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18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Bayuningsih, A.A.P. Improving Students’ Speaking Ability Using the Snakes and Ladders Board Game at 11th Grade of Saint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Pius X Vocational High School Magelang. Ph.D. Thesis, Sanata Dharma University, Yogyakarta, Indonesia, 2016.</w:t>
      </w:r>
    </w:p>
    <w:p>
      <w:pPr>
        <w:autoSpaceDN w:val="0"/>
        <w:tabs>
          <w:tab w:pos="426" w:val="left"/>
          <w:tab w:pos="430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Sharma, D.R. Action research on improving students’ speaking proficiency in using cooperative storytelling strategy.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J. NELTA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Surkhet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1–9.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19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4. </w:t>
      </w:r>
      <w:r>
        <w:tab/>
      </w:r>
      <w:r>
        <w:rPr>
          <w:w w:val="98.82644017537436"/>
          <w:rFonts w:ascii="URWPalladioL" w:hAnsi="URWPalladioL" w:eastAsia="URWPalladioL"/>
          <w:b w:val="0"/>
          <w:i w:val="0"/>
          <w:color w:val="000000"/>
          <w:sz w:val="18"/>
        </w:rPr>
        <w:t>Nadesan, N.K.; Shah, P.M. Non-linguistic challenges faced by Malaysian students in enhancing speaking skills.</w:t>
      </w:r>
      <w:r>
        <w:rPr>
          <w:w w:val="98.82644017537436"/>
          <w:rFonts w:ascii="URWPalladioL" w:hAnsi="URWPalladioL" w:eastAsia="URWPalladioL"/>
          <w:b w:val="0"/>
          <w:i/>
          <w:color w:val="000000"/>
          <w:sz w:val="18"/>
        </w:rPr>
        <w:t xml:space="preserve"> Creat. Educ.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w w:val="98.82644017537436"/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11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1988–2001.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0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]</w:t>
      </w:r>
    </w:p>
    <w:p>
      <w:pPr>
        <w:sectPr>
          <w:pgSz w:w="11906" w:h="16838"/>
          <w:pgMar w:top="520" w:right="662" w:bottom="694" w:left="716" w:header="720" w:footer="720" w:gutter="0"/>
          <w:cols w:space="720" w:num="1" w:equalWidth="0">
            <w:col w:w="10528" w:space="0"/>
            <w:col w:w="10524" w:space="0"/>
            <w:col w:w="10528" w:space="0"/>
            <w:col w:w="10524" w:space="0"/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07"/>
        <w:gridCol w:w="3507"/>
        <w:gridCol w:w="3507"/>
      </w:tblGrid>
      <w:tr>
        <w:trPr>
          <w:trHeight w:hRule="exact" w:val="306"/>
        </w:trPr>
        <w:tc>
          <w:tcPr>
            <w:tcW w:type="dxa" w:w="5904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10 of 11</w:t>
            </w:r>
          </w:p>
        </w:tc>
      </w:tr>
      <w:tr>
        <w:trPr>
          <w:trHeight w:hRule="exact" w:val="816"/>
        </w:trPr>
        <w:tc>
          <w:tcPr>
            <w:tcW w:type="dxa" w:w="28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8" w:after="0"/>
              <w:ind w:left="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5.</w:t>
            </w:r>
          </w:p>
        </w:tc>
        <w:tc>
          <w:tcPr>
            <w:tcW w:type="dxa" w:w="1019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8" w:after="0"/>
              <w:ind w:left="15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Azlan, N.A.; Zakaria, S.; Yunus, M.M. Insta-iBubbly: A fun way to develop English speaking skills. In Proceedings of the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428" w:right="0" w:firstLine="6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International Conference of Early Childhood Education (ICECE 2019), Padang, Indonesia, 24–25 October 2019; Volume 449,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pp. 92–96.</w:t>
      </w:r>
    </w:p>
    <w:p>
      <w:pPr>
        <w:autoSpaceDN w:val="0"/>
        <w:tabs>
          <w:tab w:pos="434" w:val="left"/>
        </w:tabs>
        <w:autoSpaceDE w:val="0"/>
        <w:widowControl/>
        <w:spacing w:line="224" w:lineRule="exact" w:before="6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6.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James, P.R.A.P.; Yong, K.L.; Yunus, M.M. Hear me out! Digital storytelling to enhance speaking skills.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Acad. Res. Bus. Soc.</w:t>
      </w:r>
    </w:p>
    <w:p>
      <w:pPr>
        <w:autoSpaceDN w:val="0"/>
        <w:tabs>
          <w:tab w:pos="430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Sci.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190–202.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1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7. </w:t>
      </w:r>
      <w:r>
        <w:tab/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>Hayuningtyas, N.; Farizah, N.H. Developing “Speak it up” board game in speaking skill for undergraduate EFL students.</w:t>
      </w:r>
      <w:r>
        <w:rPr>
          <w:w w:val="98.62537384033203"/>
          <w:rFonts w:ascii="URWPalladioL" w:hAnsi="URWPalladioL" w:eastAsia="URWPalladioL"/>
          <w:b w:val="0"/>
          <w:i/>
          <w:color w:val="000000"/>
          <w:sz w:val="18"/>
        </w:rPr>
        <w:t xml:space="preserve"> PESAT </w:t>
      </w:r>
      <w:r>
        <w:tab/>
      </w:r>
      <w:r>
        <w:rPr>
          <w:rFonts w:ascii="URWPalladioL" w:hAnsi="URWPalladioL" w:eastAsia="URWPalladioL"/>
          <w:b/>
          <w:i w:val="0"/>
          <w:color w:val="000000"/>
          <w:sz w:val="18"/>
        </w:rPr>
        <w:t>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6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1–14.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8.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Charanjit, K.S.S.; Ramachandran, A.; Tarsame, S.M.S.; Ong, E.T.; Yunus, M.M.; Mulyadi, D. The use of think pair share of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cooperative learning to improve weak students’ speaking ability.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Psychosoc. Rehabil.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24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2243–2251.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2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9.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Mustapha, S.M.; Abd Rahman, N.S.N.; Yunus, M.M. Factors influencing classroom participation: A case stud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22" w:history="1">
          <w:r>
            <w:rPr>
              <w:rStyle w:val="Hyperlink"/>
            </w:rPr>
            <w:t>y of Mal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aysian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undergraduate students.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Procedia Soc. Behav. Sci.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1079–1084.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3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10.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Zakaria, N.; Hashim, H.; Yunus, M. A review of affective strategy a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23" w:history="1">
          <w:r>
            <w:rPr>
              <w:rStyle w:val="Hyperlink"/>
            </w:rPr>
            <w:t xml:space="preserve">nd social 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strategy in developing students’ speaking skills.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6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Creat. Educ.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3082–3090.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4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11. </w:t>
      </w:r>
      <w:r>
        <w:tab/>
      </w:r>
      <w:r>
        <w:rPr>
          <w:w w:val="98.97697236802843"/>
          <w:rFonts w:ascii="URWPalladioL" w:hAnsi="URWPalladioL" w:eastAsia="URWPalladioL"/>
          <w:b w:val="0"/>
          <w:i w:val="0"/>
          <w:color w:val="000000"/>
          <w:sz w:val="18"/>
        </w:rPr>
        <w:t xml:space="preserve">Arif, F.K.M.; Zubir, N.Z.; Mohamad, M.; Yunus, M.M. Benefits and challenges of using game-based formative assessment among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undergraduate students.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Humanit. Soc. Sci. Rev.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203–213.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5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Kapp, K.M.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The Gamification of Learning and Instruction: Case-Based</w:t>
      </w:r>
      <w:r>
        <w:rPr>
          <w:rFonts w:ascii="URWPalladioL" w:hAnsi="URWPalladioL" w:eastAsia="URWPalladioL"/>
          <w:b w:val="0"/>
          <w:i/>
          <w:color w:val="000000"/>
          <w:sz w:val="18"/>
        </w:rPr>
        <w:hyperlink r:id="rId25" w:history="1">
          <w:r>
            <w:rPr>
              <w:rStyle w:val="Hyperlink"/>
            </w:rPr>
            <w:t xml:space="preserve"> Methods </w:t>
          </w:r>
        </w:hyperlink>
      </w:r>
      <w:r>
        <w:rPr>
          <w:rFonts w:ascii="URWPalladioL" w:hAnsi="URWPalladioL" w:eastAsia="URWPalladioL"/>
          <w:b w:val="0"/>
          <w:i/>
          <w:color w:val="000000"/>
          <w:sz w:val="18"/>
        </w:rPr>
        <w:t>and Strategies for Training and Education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; Pfieffer, An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Imprint of John Wiley &amp; Sons: New York, NY, USA, 2012.</w:t>
      </w:r>
    </w:p>
    <w:p>
      <w:pPr>
        <w:autoSpaceDN w:val="0"/>
        <w:autoSpaceDE w:val="0"/>
        <w:widowControl/>
        <w:spacing w:line="220" w:lineRule="exact" w:before="10" w:after="0"/>
        <w:ind w:left="0" w:right="0" w:firstLine="0"/>
        <w:jc w:val="center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Rodr</w:t>
      </w:r>
      <w:r>
        <w:rPr>
          <w:rFonts w:ascii="VnURWPalladioL" w:hAnsi="VnURWPalladioL" w:eastAsia="VnURWPalladioL"/>
          <w:b w:val="0"/>
          <w:i w:val="0"/>
          <w:color w:val="000000"/>
          <w:sz w:val="18"/>
        </w:rPr>
        <w:t>í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guez, M.R. The Importance of Teaching Listening and Speaking Skills. Master’s Thesis, Faculted of Education, Madrid,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13.</w:t>
      </w:r>
    </w:p>
    <w:p>
      <w:pPr>
        <w:autoSpaceDN w:val="0"/>
        <w:autoSpaceDE w:val="0"/>
        <w:widowControl/>
        <w:spacing w:line="220" w:lineRule="exact" w:before="10" w:after="0"/>
        <w:ind w:left="43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Spain, 2012.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14.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Azzahroh, R.A. The Effectiveness of Using Board Games towards Students’ Speaking Skill. A Quasi Experimental Study at the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Tenth Grade Students of SMAN 1 Parung. In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Skripsi Jurusan Pendidikan Bahasa Inggris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; University Syarif Hidayatullah: Jakarta,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Indonesia, 2015.</w:t>
      </w:r>
    </w:p>
    <w:p>
      <w:pPr>
        <w:autoSpaceDN w:val="0"/>
        <w:tabs>
          <w:tab w:pos="434" w:val="left"/>
        </w:tabs>
        <w:autoSpaceDE w:val="0"/>
        <w:widowControl/>
        <w:spacing w:line="232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15. </w:t>
      </w:r>
      <w:r>
        <w:tab/>
      </w:r>
      <w:r>
        <w:rPr>
          <w:w w:val="98.92681969536675"/>
          <w:rFonts w:ascii="URWPalladioL" w:hAnsi="URWPalladioL" w:eastAsia="URWPalladioL"/>
          <w:b w:val="0"/>
          <w:i w:val="0"/>
          <w:color w:val="000000"/>
          <w:sz w:val="18"/>
        </w:rPr>
        <w:t xml:space="preserve">Anggit, W. The Use of Board Game to Improve Students Speaking Skills (A Classroom Action Research for the Eighth Student of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MTs Yajri Payaman). 2019. Available online: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6" w:history="1">
          <w:r>
            <w:rPr>
              <w:rStyle w:val="Hyperlink"/>
            </w:rPr>
            <w:t>http://e-repository.perpus.iainsalatiga.ac.id/7955/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5 May 2021).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16.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Wang, Z.Q. Developing accuracy and fluen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26" w:history="1">
          <w:r>
            <w:rPr>
              <w:rStyle w:val="Hyperlink"/>
            </w:rPr>
            <w:t>cy in spoken English of Chinese EFL learners.</w:t>
          </w:r>
        </w:hyperlink>
      </w:r>
      <w:r>
        <w:rPr>
          <w:rFonts w:ascii="URWPalladioL" w:hAnsi="URWPalladioL" w:eastAsia="URWPalladioL"/>
          <w:b w:val="0"/>
          <w:i/>
          <w:color w:val="000000"/>
          <w:sz w:val="18"/>
        </w:rPr>
        <w:hyperlink r:id="rId26" w:history="1">
          <w:r>
            <w:rPr>
              <w:rStyle w:val="Hyperlink"/>
            </w:rPr>
            <w:t xml:space="preserve"> Engl.</w:t>
          </w:r>
        </w:hyperlink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Lang. Teach.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2014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110–118.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7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17.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Pratiwi, F. The effect of Pelajar Go! as a board game to improve student’s speaking skill.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Adv. Soc. Sci. Educ. Humanit. Res.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326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211–215.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8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Vygotsky, L.S.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Mind in Society: The Development of Higher Psychological Processes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; Harvard University Press: Cambridge, MA,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18.</w:t>
      </w:r>
    </w:p>
    <w:p>
      <w:pPr>
        <w:autoSpaceDN w:val="0"/>
        <w:autoSpaceDE w:val="0"/>
        <w:widowControl/>
        <w:spacing w:line="220" w:lineRule="exact" w:before="6" w:after="0"/>
        <w:ind w:left="43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USA, 1978.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19.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Mostowfi, S.; Mamaghani, N.K.; Khorramar, M. Designing playful learning by using educational board game for children in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the age range of 7–12: A case study: Recycling and waste separation education board game.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Environ. Sci. Educ.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2016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5454–5476.</w:t>
      </w:r>
    </w:p>
    <w:p>
      <w:pPr>
        <w:autoSpaceDN w:val="0"/>
        <w:tabs>
          <w:tab w:pos="434" w:val="left"/>
        </w:tabs>
        <w:autoSpaceDE w:val="0"/>
        <w:widowControl/>
        <w:spacing w:line="220" w:lineRule="exact" w:before="1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20. </w:t>
      </w:r>
      <w:r>
        <w:tab/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>Arslan, H.O.; Moseley, C.; Cigdemoglu, C. Taking attention on environmental issues by an attractive educational game: Enviropoly.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4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Procedia Soc. Behav. Sci.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28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801–806.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29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21.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Syakur, M.A. The use of board game in teaching speaking to young learners.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Engl. Educ. J. Engl. Teach. Res.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149–155.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0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Rohdiana, A. Developing communicative board game in speaking descriptive text to EFL young learners. In Proceedings of the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2nd TEYLIN International Conference, Indramayu, Indonesia, 25–26 April 2017; pp. 49–58.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1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Fithriani, R. Communicative game-based learning in EFL grammar class: Suggested activitie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31" w:history="1">
          <w:r>
            <w:rPr>
              <w:rStyle w:val="Hyperlink"/>
            </w:rPr>
            <w:t>s and stud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ents’ perception.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JEELS J.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23.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Engl. Educ. Linguist. Stud.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171–188.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2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24.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Chen, C.Y. The possibility of applying mode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32" w:history="1">
          <w:r>
            <w:rPr>
              <w:rStyle w:val="Hyperlink"/>
            </w:rPr>
            <w:t xml:space="preserve">rn board 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games on children’s learning.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New Knowl. Mandat. Educ.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40–45.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25.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Fung, Y.M.; Min, Y.L. Effects of board game on speaking ability of low-proficiency ESL learners.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Appl. Linguist. Engl. Lit.</w:t>
      </w:r>
    </w:p>
    <w:p>
      <w:pPr>
        <w:autoSpaceDN w:val="0"/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/>
          <w:i w:val="0"/>
          <w:color w:val="000000"/>
          <w:sz w:val="18"/>
        </w:rPr>
        <w:t>2016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261–271.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3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Surajwaran, M.; Aziz, A.A. The impact of the implementation of CLT on students’ speaking skills.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Sci. Res. Publ.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26.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75–82.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4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27.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Barton, E.E.; Pokorski, E.A.; Sweeney, E.M.; Velez, M.; Gossett, S.; Qiu, J.; Domingo, M. An empirical examination of effective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practices for teaching board game play to young children.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J. Posit. Behav. Interv.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138–148.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5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28. </w:t>
      </w:r>
      <w:r>
        <w:tab/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>Gonzalo-Iglesia, J.L.; Lozano-Monterrubio, N.; Prades-Tena, J. Non educational board games in univ</w:t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hyperlink r:id="rId35" w:history="1">
          <w:r>
            <w:rPr>
              <w:rStyle w:val="Hyperlink"/>
            </w:rPr>
            <w:t>ersity edu</w:t>
          </w:r>
        </w:hyperlink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cation. Perceptions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of students experiencing game-based learning methodologies.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Revista LUs</w:t>
      </w:r>
      <w:r>
        <w:rPr>
          <w:rFonts w:ascii="VnURWPalladioL" w:hAnsi="VnURWPalladioL" w:eastAsia="VnURWPalladioL"/>
          <w:b w:val="0"/>
          <w:i/>
          <w:color w:val="000000"/>
          <w:sz w:val="18"/>
        </w:rPr>
        <w:t>ó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>fona de Educaç</w:t>
      </w:r>
      <w:r>
        <w:rPr>
          <w:rFonts w:ascii="VnURWPalladioL" w:hAnsi="VnURWPalladioL" w:eastAsia="VnURWPalladioL"/>
          <w:b w:val="0"/>
          <w:i/>
          <w:color w:val="000000"/>
          <w:sz w:val="18"/>
        </w:rPr>
        <w:t>ã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>o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41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45–62.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6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29.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Karasimos, A. #LetMeepleTalk: Using board games for EFL preschoolers.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Res. Pap. Lang. Teach. Learn.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</w:t>
      </w:r>
      <w:r>
        <w:rPr>
          <w:rFonts w:ascii="URWPalladioL" w:hAnsi="URWPalladioL" w:eastAsia="URWPalladioL"/>
          <w:b w:val="0"/>
          <w:i/>
          <w:color w:val="000000"/>
          <w:sz w:val="18"/>
        </w:rPr>
        <w:hyperlink r:id="rId36" w:history="1">
          <w:r>
            <w:rPr>
              <w:rStyle w:val="Hyperlink"/>
            </w:rPr>
            <w:t>11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36" w:history="1">
          <w:r>
            <w:rPr>
              <w:rStyle w:val="Hyperlink"/>
            </w:rPr>
            <w:t>, 93–10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30. </w:t>
      </w:r>
      <w:r>
        <w:tab/>
      </w:r>
      <w:r>
        <w:rPr>
          <w:w w:val="98.92681969536675"/>
          <w:rFonts w:ascii="URWPalladioL" w:hAnsi="URWPalladioL" w:eastAsia="URWPalladioL"/>
          <w:b w:val="0"/>
          <w:i w:val="0"/>
          <w:color w:val="000000"/>
          <w:sz w:val="18"/>
        </w:rPr>
        <w:t>Yunus, M.M.; Hashim, H.; Embi, M.A.; Lubis, M.A. The utilization of ICT in the teaching and learning of English: ‘Tell Me More’.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4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Procedia Soc. Behav. Sci.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685–691.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7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31.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Annisa, P.S.M.; Nst, R.D. Comic strips and board game as a media in learning oral language skills for students.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Jurnal Darma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Agung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28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313–327.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8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Asiah, N. The use of dart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38" w:history="1">
          <w:r>
            <w:rPr>
              <w:rStyle w:val="Hyperlink"/>
            </w:rPr>
            <w:t>board ga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mes as strategy to improve students’ speaking skill.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SELL J.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131–136.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39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33. </w:t>
      </w:r>
      <w:r>
        <w:tab/>
      </w:r>
      <w:r>
        <w:rPr>
          <w:w w:val="98.725954691569"/>
          <w:rFonts w:ascii="URWPalladioL" w:hAnsi="URWPalladioL" w:eastAsia="URWPalladioL"/>
          <w:b w:val="0"/>
          <w:i w:val="0"/>
          <w:color w:val="000000"/>
          <w:sz w:val="18"/>
        </w:rPr>
        <w:t>Cheng, Y.C. The Effect Of Using Board Games in Reducing Language Anxiety and Improving Oral Performance.</w:t>
      </w:r>
      <w:r>
        <w:rPr>
          <w:w w:val="98.725954691569"/>
          <w:rFonts w:ascii="URWPalladioL" w:hAnsi="URWPalladioL" w:eastAsia="URWPalladioL"/>
          <w:b w:val="0"/>
          <w:i/>
          <w:color w:val="000000"/>
          <w:sz w:val="18"/>
        </w:rPr>
        <w:t xml:space="preserve"> E</w:t>
      </w:r>
      <w:r>
        <w:rPr>
          <w:w w:val="98.725954691569"/>
          <w:rFonts w:ascii="URWPalladioL" w:hAnsi="URWPalladioL" w:eastAsia="URWPalladioL"/>
          <w:b w:val="0"/>
          <w:i/>
          <w:color w:val="000000"/>
          <w:sz w:val="18"/>
        </w:rPr>
        <w:hyperlink r:id="rId39" w:history="1">
          <w:r>
            <w:rPr>
              <w:rStyle w:val="Hyperlink"/>
            </w:rPr>
            <w:t xml:space="preserve">lectronic </w:t>
          </w:r>
        </w:hyperlink>
      </w:r>
      <w:r>
        <w:rPr>
          <w:w w:val="98.725954691569"/>
          <w:rFonts w:ascii="URWPalladioL" w:hAnsi="URWPalladioL" w:eastAsia="URWPalladioL"/>
          <w:b w:val="0"/>
          <w:i/>
          <w:color w:val="000000"/>
          <w:sz w:val="18"/>
        </w:rPr>
        <w:t xml:space="preserve">Theses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and Dissertations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. 2018. Available online: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0" w:history="1">
          <w:r>
            <w:rPr>
              <w:rStyle w:val="Hyperlink"/>
            </w:rPr>
            <w:t>https://egrove.olemiss.edu/etd/899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5 May 2021).</w:t>
      </w:r>
    </w:p>
    <w:p>
      <w:pPr>
        <w:autoSpaceDN w:val="0"/>
        <w:tabs>
          <w:tab w:pos="434" w:val="left"/>
        </w:tabs>
        <w:autoSpaceDE w:val="0"/>
        <w:widowControl/>
        <w:spacing w:line="224" w:lineRule="exact" w:before="2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34.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Maqfirah, Y.; Fitriani, S.; Chairina. The u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0" w:history="1">
          <w:r>
            <w:rPr>
              <w:rStyle w:val="Hyperlink"/>
            </w:rPr>
            <w:t>se of guessing games to teach speakin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 skill.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Res. Engl. Educ. READ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3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91–99.</w:t>
      </w:r>
    </w:p>
    <w:p>
      <w:pPr>
        <w:sectPr>
          <w:pgSz w:w="11906" w:h="16838"/>
          <w:pgMar w:top="520" w:right="670" w:bottom="662" w:left="716" w:header="720" w:footer="720" w:gutter="0"/>
          <w:cols w:space="720" w:num="1" w:equalWidth="0">
            <w:col w:w="10520" w:space="0"/>
            <w:col w:w="10528" w:space="0"/>
            <w:col w:w="10524" w:space="0"/>
            <w:col w:w="10528" w:space="0"/>
            <w:col w:w="10524" w:space="0"/>
            <w:col w:w="10514" w:space="0"/>
            <w:col w:w="10528" w:space="0"/>
            <w:col w:w="10524" w:space="0"/>
            <w:col w:w="10528" w:space="0"/>
            <w:col w:w="5836" w:space="0"/>
            <w:col w:w="4698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07"/>
        <w:gridCol w:w="3507"/>
        <w:gridCol w:w="3507"/>
      </w:tblGrid>
      <w:tr>
        <w:trPr>
          <w:trHeight w:hRule="exact" w:val="306"/>
        </w:trPr>
        <w:tc>
          <w:tcPr>
            <w:tcW w:type="dxa" w:w="5904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>Sustainability</w:t>
            </w:r>
            <w:r>
              <w:rPr>
                <w:rFonts w:ascii="URWPalladioL" w:hAnsi="URWPalladioL" w:eastAsia="URWPalladioL"/>
                <w:b/>
                <w:i w:val="0"/>
                <w:color w:val="000000"/>
                <w:sz w:val="16"/>
              </w:rPr>
              <w:t xml:space="preserve"> 2021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6"/>
              </w:rPr>
              <w:t xml:space="preserve"> 13</w:t>
            </w: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, 8772</w:t>
            </w:r>
          </w:p>
        </w:tc>
        <w:tc>
          <w:tcPr>
            <w:tcW w:type="dxa" w:w="45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6"/>
              </w:rPr>
              <w:t>11 of 11</w:t>
            </w:r>
          </w:p>
        </w:tc>
      </w:tr>
      <w:tr>
        <w:trPr>
          <w:trHeight w:hRule="exact" w:val="818"/>
        </w:trPr>
        <w:tc>
          <w:tcPr>
            <w:tcW w:type="dxa" w:w="32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8" w:after="0"/>
              <w:ind w:left="4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35.</w:t>
            </w:r>
          </w:p>
        </w:tc>
        <w:tc>
          <w:tcPr>
            <w:tcW w:type="dxa" w:w="1015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88" w:after="0"/>
              <w:ind w:left="110" w:right="0" w:firstLine="0"/>
              <w:jc w:val="left"/>
            </w:pPr>
            <w:r>
              <w:rPr>
                <w:rFonts w:ascii="URWPalladioL" w:hAnsi="URWPalladioL" w:eastAsia="URWPalladioL"/>
                <w:b w:val="0"/>
                <w:i w:val="0"/>
                <w:color w:val="000000"/>
                <w:sz w:val="18"/>
              </w:rPr>
              <w:t>Suhardiyati, Y.; Sukirlan, M.; Nurweni, A. The influence of What Am I? game toward students’ speaking achievement.</w:t>
            </w:r>
            <w:r>
              <w:rPr>
                <w:rFonts w:ascii="URWPalladioL" w:hAnsi="URWPalladioL" w:eastAsia="URWPalladioL"/>
                <w:b w:val="0"/>
                <w:i/>
                <w:color w:val="000000"/>
                <w:sz w:val="18"/>
              </w:rPr>
              <w:t xml:space="preserve"> U-JET</w:t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428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18"/>
        </w:rPr>
        <w:t>Unila J. Engl. Teach.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54–62.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36. </w:t>
      </w:r>
      <w:r>
        <w:tab/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 xml:space="preserve">Arzaga, A.K.; Dante, A. The Use of Board and Card Games for Entertainment to Adults for the Purpose of English Communication: </w:t>
      </w:r>
      <w:r>
        <w:tab/>
      </w:r>
      <w:r>
        <w:rPr>
          <w:w w:val="98.97697236802843"/>
          <w:rFonts w:ascii="URWPalladioL" w:hAnsi="URWPalladioL" w:eastAsia="URWPalladioL"/>
          <w:b w:val="0"/>
          <w:i w:val="0"/>
          <w:color w:val="000000"/>
          <w:sz w:val="18"/>
        </w:rPr>
        <w:t>An Exploratory Study. 2019. Available online:</w:t>
      </w:r>
      <w:r>
        <w:rPr>
          <w:w w:val="98.97697236802843"/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w w:val="98.97697236802843"/>
          <w:rFonts w:ascii="URWPalladioL" w:hAnsi="URWPalladioL" w:eastAsia="URWPalladioL"/>
          <w:b w:val="0"/>
          <w:i w:val="0"/>
          <w:color w:val="0774B7"/>
          <w:sz w:val="18"/>
        </w:rPr>
        <w:hyperlink r:id="rId41" w:history="1">
          <w:r>
            <w:rPr>
              <w:rStyle w:val="Hyperlink"/>
            </w:rPr>
            <w:t>https://www.researchgate.net/publication/332468197</w:t>
          </w:r>
        </w:hyperlink>
      </w:r>
      <w:r>
        <w:rPr>
          <w:w w:val="98.97697236802843"/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15 May 2021).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37.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Łodzikowski, K.; Jekiel, M. Board games for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1" w:history="1">
          <w:r>
            <w:rPr>
              <w:rStyle w:val="Hyperlink"/>
            </w:rPr>
            <w:t xml:space="preserve"> teaching English prosody to advanced EFL learners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ELT J.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73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275–285.</w:t>
      </w:r>
    </w:p>
    <w:p>
      <w:pPr>
        <w:autoSpaceDN w:val="0"/>
        <w:autoSpaceDE w:val="0"/>
        <w:widowControl/>
        <w:spacing w:line="228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2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w w:val="98.92681969536675"/>
          <w:rFonts w:ascii="URWPalladioL" w:hAnsi="URWPalladioL" w:eastAsia="URWPalladioL"/>
          <w:b w:val="0"/>
          <w:i w:val="0"/>
          <w:color w:val="000000"/>
          <w:sz w:val="18"/>
        </w:rPr>
        <w:t xml:space="preserve">Ratih, F.T.; Ningsih, N.A.; Kurniawan, A. Using a board game “Snake and Ladder” to teach speaking descriptive text at the eight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38.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4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grade students of SMPN 2 Wungu.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Engl. Teach. J.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3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39.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Bayeck, R.Y. Examining board gameplay and learning: A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3" w:history="1">
          <w:r>
            <w:rPr>
              <w:rStyle w:val="Hyperlink"/>
            </w:rPr>
            <w:t xml:space="preserve"> multidis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ciplinary review of recent research.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Simul. Gaming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51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411–431.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4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40.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Taspinar, B.; Schmidt, W.; Schuhbauer, H. Gamification in education: A board game approach to knowledge acquisition.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Procedia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Comput. Sci.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101–116.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5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41.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Linares, C.E. Enhancing Speaki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5" w:history="1">
          <w:r>
            <w:rPr>
              <w:rStyle w:val="Hyperlink"/>
            </w:rPr>
            <w:t>ng throug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h Board and Table Games in an EFL Classroom. Board and Table Games: A Fun Way to </w:t>
      </w:r>
      <w:r>
        <w:tab/>
      </w:r>
      <w:r>
        <w:rPr>
          <w:w w:val="98.62537384033203"/>
          <w:rFonts w:ascii="URWPalladioL" w:hAnsi="URWPalladioL" w:eastAsia="URWPalladioL"/>
          <w:b w:val="0"/>
          <w:i w:val="0"/>
          <w:color w:val="000000"/>
          <w:sz w:val="18"/>
        </w:rPr>
        <w:t>Learn English. Universidad Externado de Colombia. 2018. Available online:</w:t>
      </w:r>
      <w:r>
        <w:rPr>
          <w:w w:val="98.62537384033203"/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w w:val="98.62537384033203"/>
          <w:rFonts w:ascii="URWPalladioL" w:hAnsi="URWPalladioL" w:eastAsia="URWPalladioL"/>
          <w:b w:val="0"/>
          <w:i w:val="0"/>
          <w:color w:val="0774B7"/>
          <w:sz w:val="18"/>
        </w:rPr>
        <w:hyperlink r:id="rId46" w:history="1">
          <w:r>
            <w:rPr>
              <w:rStyle w:val="Hyperlink"/>
            </w:rPr>
            <w:t xml:space="preserve">https://bdigital.uexternado.edu.co/handle/001/855 </w:t>
          </w:r>
        </w:hyperlink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(accessed on 5 May 2021).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Putri, N.; Setiyadi, B.; Nabila, S. The implementation of board game to improve students’ speaking achievement.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U-JET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51–59.</w:t>
      </w:r>
    </w:p>
    <w:p>
      <w:pPr>
        <w:autoSpaceDN w:val="0"/>
        <w:autoSpaceDE w:val="0"/>
        <w:widowControl/>
        <w:spacing w:line="220" w:lineRule="exact" w:before="10" w:after="0"/>
        <w:ind w:left="0" w:right="0" w:firstLine="0"/>
        <w:jc w:val="center"/>
      </w:pPr>
      <w:r>
        <w:rPr>
          <w:w w:val="98.67567486233182"/>
          <w:rFonts w:ascii="URWPalladioL" w:hAnsi="URWPalladioL" w:eastAsia="URWPalladioL"/>
          <w:b w:val="0"/>
          <w:i w:val="0"/>
          <w:color w:val="000000"/>
          <w:sz w:val="18"/>
        </w:rPr>
        <w:t xml:space="preserve">Simbolon, A.; Siregar, P.; Sibuea, E.R. Improving the students’ speaking skills through board games to the tenth grade students of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43.</w:t>
      </w:r>
    </w:p>
    <w:p>
      <w:pPr>
        <w:autoSpaceDN w:val="0"/>
        <w:autoSpaceDE w:val="0"/>
        <w:widowControl/>
        <w:spacing w:line="224" w:lineRule="exact" w:before="10" w:after="0"/>
        <w:ind w:left="43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SMA Negeri 2 Padangsidimpuan.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Jurnal ESTUPRO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3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12–21.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44. </w:t>
      </w:r>
      <w:r>
        <w:tab/>
      </w:r>
      <w:r>
        <w:rPr>
          <w:w w:val="98.92681969536675"/>
          <w:rFonts w:ascii="URWPalladioL" w:hAnsi="URWPalladioL" w:eastAsia="URWPalladioL"/>
          <w:b w:val="0"/>
          <w:i w:val="0"/>
          <w:color w:val="000000"/>
          <w:sz w:val="18"/>
        </w:rPr>
        <w:t xml:space="preserve">Hariyanto, H.; Sutarsyah, C.; Sukirlan, M. Improving students’ speaking performance through language board game at the eight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grade of SMPIT Permata Bunda.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U-JET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85–94.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45.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Nuzulia, R.; Kepirianto, C. Reducing student’s English dialogue anxiety in online learning through board game.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Lensa: Kajian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Kebahasaan Kesusastraan dan Budaya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263–280.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7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46.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Ho, P.V.P.; Thien, N.M.; An, N.T.M.; Vy, N.N.H. The eff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7" w:history="1">
          <w:r>
            <w:rPr>
              <w:rStyle w:val="Hyperlink"/>
            </w:rPr>
            <w:t>ects of us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ing games on EFL students’ speaking performances.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Int. J. Engl.</w:t>
      </w:r>
    </w:p>
    <w:p>
      <w:pPr>
        <w:autoSpaceDN w:val="0"/>
        <w:tabs>
          <w:tab w:pos="430" w:val="left"/>
          <w:tab w:pos="434" w:val="left"/>
        </w:tabs>
        <w:autoSpaceDE w:val="0"/>
        <w:widowControl/>
        <w:spacing w:line="230" w:lineRule="exact" w:before="2" w:after="0"/>
        <w:ind w:left="4" w:right="0" w:firstLine="0"/>
        <w:jc w:val="left"/>
      </w:pP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Linguist.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183–193.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8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47.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Arfani, S.; Sulistia, A. Teach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48" w:history="1">
          <w:r>
            <w:rPr>
              <w:rStyle w:val="Hyperlink"/>
            </w:rPr>
            <w:t>ing speak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ing using a “Snake and Ladder” board game: A teacher story.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Res. Innov. Lang. Learn.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2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65–72.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49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48.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Putri, A.A.; Sinaga, T.; Sukirlan, M. The Implementation of Board Games in Improving Students’ Speaking Skill. 2017. Available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online: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50" w:history="1">
          <w:r>
            <w:rPr>
              <w:rStyle w:val="Hyperlink"/>
            </w:rPr>
            <w:t>http://digilib.unila.ac.id/id/eprint/30285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24 May 2021).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49.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Rayhan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50" w:history="1">
          <w:r>
            <w:rPr>
              <w:rStyle w:val="Hyperlink"/>
            </w:rPr>
            <w:t>a Maulidya, F. Improving the Eighth Grade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Students’ Speaking Ability by Using Board Game at Smpn 2 Banyuglugur in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the 2018/2019 Academic Year. 2019. Available online: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51" w:history="1">
          <w:r>
            <w:rPr>
              <w:rStyle w:val="Hyperlink"/>
            </w:rPr>
            <w:t>http://repository.unmuhjember.ac.id/6756/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12 May 2021).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50.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Al-Jawwadah, R.K.; Saputri, T. The effect of board ga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51" w:history="1">
          <w:r>
            <w:rPr>
              <w:rStyle w:val="Hyperlink"/>
            </w:rPr>
            <w:t>me to increase English vocabulary mastery: S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ystematic review.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Konstruk-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tivisme: Jurnal Pendidikan dan Pembelajaran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13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13–24.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52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Dewi, H.A. The implementation of board games in teachin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52" w:history="1">
          <w:r>
            <w:rPr>
              <w:rStyle w:val="Hyperlink"/>
            </w:rPr>
            <w:t>g speakin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g for tenth graders in senior high school.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RETAIN Res. Engl.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51.</w:t>
      </w:r>
    </w:p>
    <w:p>
      <w:pPr>
        <w:autoSpaceDN w:val="0"/>
        <w:autoSpaceDE w:val="0"/>
        <w:widowControl/>
        <w:spacing w:line="224" w:lineRule="exact" w:before="6" w:after="0"/>
        <w:ind w:left="430" w:right="0" w:firstLine="0"/>
        <w:jc w:val="left"/>
      </w:pPr>
      <w:r>
        <w:rPr>
          <w:rFonts w:ascii="URWPalladioL" w:hAnsi="URWPalladioL" w:eastAsia="URWPalladioL"/>
          <w:b w:val="0"/>
          <w:i/>
          <w:color w:val="000000"/>
          <w:sz w:val="18"/>
        </w:rPr>
        <w:t>Lang. Teach. Indones.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2021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9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45–52.</w:t>
      </w:r>
    </w:p>
    <w:p>
      <w:pPr>
        <w:autoSpaceDN w:val="0"/>
        <w:tabs>
          <w:tab w:pos="434" w:val="left"/>
        </w:tabs>
        <w:autoSpaceDE w:val="0"/>
        <w:widowControl/>
        <w:spacing w:line="220" w:lineRule="exact" w:before="6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52.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Kumalasari, E.; Risnawati Lismayanti, D. Improving students’ speaking ability by using something old something new game.</w:t>
      </w:r>
    </w:p>
    <w:p>
      <w:pPr>
        <w:autoSpaceDN w:val="0"/>
        <w:autoSpaceDE w:val="0"/>
        <w:widowControl/>
        <w:spacing w:line="230" w:lineRule="exact" w:before="0" w:after="0"/>
        <w:ind w:left="428" w:right="0" w:firstLine="6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In Proceedings of the 9th UNNES Virtual International Conference on English Language Teaching, Literature, and Transltion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(ELTLT), Semarang City, Indonesia, 14–15 November 2020; Volume 1, pp. 148–156.</w:t>
      </w:r>
    </w:p>
    <w:p>
      <w:pPr>
        <w:autoSpaceDN w:val="0"/>
        <w:tabs>
          <w:tab w:pos="434" w:val="left"/>
        </w:tabs>
        <w:autoSpaceDE w:val="0"/>
        <w:widowControl/>
        <w:spacing w:line="230" w:lineRule="exact" w:before="2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53.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Chao, C.Y.; Fan, S.H. The effects of integrating board games into ice-breaking activities in a fifth-grade English class to reduce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students’ anxieties.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Engl. Lang. Teach.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13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40–49. [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53" w:history="1">
          <w:r>
            <w:rPr>
              <w:rStyle w:val="Hyperlink"/>
            </w:rPr>
            <w:t>CrossRef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] </w:t>
      </w:r>
      <w:r>
        <w:br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54.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Maulana, R.A. The Use of Board Game for Improving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53" w:history="1">
          <w:r>
            <w:rPr>
              <w:rStyle w:val="Hyperlink"/>
            </w:rPr>
            <w:t xml:space="preserve">Students’ 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English Speaking Ability. The State Institute for Islamic Studies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Of Bengkulu. 2019. Available online: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t xml:space="preserve"> </w:t>
      </w:r>
      <w:r>
        <w:rPr>
          <w:rFonts w:ascii="URWPalladioL" w:hAnsi="URWPalladioL" w:eastAsia="URWPalladioL"/>
          <w:b w:val="0"/>
          <w:i w:val="0"/>
          <w:color w:val="0774B7"/>
          <w:sz w:val="18"/>
        </w:rPr>
        <w:hyperlink r:id="rId54" w:history="1">
          <w:r>
            <w:rPr>
              <w:rStyle w:val="Hyperlink"/>
            </w:rPr>
            <w:t>http://repository.iainbengkulu.ac.id/2699/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(accessed on 21 May 2021).</w:t>
      </w:r>
    </w:p>
    <w:p>
      <w:pPr>
        <w:autoSpaceDN w:val="0"/>
        <w:tabs>
          <w:tab w:pos="428" w:val="left"/>
          <w:tab w:pos="434" w:val="left"/>
        </w:tabs>
        <w:autoSpaceDE w:val="0"/>
        <w:widowControl/>
        <w:spacing w:line="232" w:lineRule="exact" w:before="0" w:after="0"/>
        <w:ind w:left="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55. </w:t>
      </w:r>
      <w:r>
        <w:tab/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Rachmadany, C.D.; Wulyani, A.N.; A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hyperlink r:id="rId54" w:history="1">
          <w:r>
            <w:rPr>
              <w:rStyle w:val="Hyperlink"/>
            </w:rPr>
            <w:t>stuti, U.P. The Loss board game: A game to</w:t>
          </w:r>
        </w:hyperlink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 improve students’ pronunciation.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J-ELLiT J. </w:t>
      </w:r>
      <w:r>
        <w:tab/>
      </w:r>
      <w:r>
        <w:rPr>
          <w:rFonts w:ascii="URWPalladioL" w:hAnsi="URWPalladioL" w:eastAsia="URWPalladioL"/>
          <w:b w:val="0"/>
          <w:i/>
          <w:color w:val="000000"/>
          <w:sz w:val="18"/>
        </w:rPr>
        <w:t>Engl. Lang. Lit. Teach.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2020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4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15–26.</w:t>
      </w:r>
    </w:p>
    <w:p>
      <w:pPr>
        <w:autoSpaceDN w:val="0"/>
        <w:autoSpaceDE w:val="0"/>
        <w:widowControl/>
        <w:spacing w:line="220" w:lineRule="exact" w:before="6" w:after="0"/>
        <w:ind w:left="0" w:right="0" w:firstLine="0"/>
        <w:jc w:val="center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 xml:space="preserve">Sari, I.P.; Wulandari, E. Developing the “Speak and Go” board game to teach speaking for grade VIII students of junior high 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56.</w:t>
      </w:r>
    </w:p>
    <w:p>
      <w:pPr>
        <w:autoSpaceDN w:val="0"/>
        <w:autoSpaceDE w:val="0"/>
        <w:widowControl/>
        <w:spacing w:line="224" w:lineRule="exact" w:before="10" w:after="0"/>
        <w:ind w:left="434" w:right="0" w:firstLine="0"/>
        <w:jc w:val="left"/>
      </w:pPr>
      <w:r>
        <w:rPr>
          <w:rFonts w:ascii="URWPalladioL" w:hAnsi="URWPalladioL" w:eastAsia="URWPalladioL"/>
          <w:b w:val="0"/>
          <w:i w:val="0"/>
          <w:color w:val="000000"/>
          <w:sz w:val="18"/>
        </w:rPr>
        <w:t>school.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Engl. Lang. Teach. J.</w:t>
      </w:r>
      <w:r>
        <w:rPr>
          <w:rFonts w:ascii="URWPalladioL" w:hAnsi="URWPalladioL" w:eastAsia="URWPalladioL"/>
          <w:b/>
          <w:i w:val="0"/>
          <w:color w:val="000000"/>
          <w:sz w:val="18"/>
        </w:rPr>
        <w:t xml:space="preserve"> 2018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</w:t>
      </w:r>
      <w:r>
        <w:rPr>
          <w:rFonts w:ascii="URWPalladioL" w:hAnsi="URWPalladioL" w:eastAsia="URWPalladioL"/>
          <w:b w:val="0"/>
          <w:i/>
          <w:color w:val="000000"/>
          <w:sz w:val="18"/>
        </w:rPr>
        <w:t xml:space="preserve"> 7</w:t>
      </w:r>
      <w:r>
        <w:rPr>
          <w:rFonts w:ascii="URWPalladioL" w:hAnsi="URWPalladioL" w:eastAsia="URWPalladioL"/>
          <w:b w:val="0"/>
          <w:i w:val="0"/>
          <w:color w:val="000000"/>
          <w:sz w:val="18"/>
        </w:rPr>
        <w:t>, 165–170.</w:t>
      </w:r>
    </w:p>
    <w:sectPr w:rsidR="00FC693F" w:rsidRPr="0006063C" w:rsidSect="00034616">
      <w:pgSz w:w="11906" w:h="16838"/>
      <w:pgMar w:top="520" w:right="670" w:bottom="1440" w:left="716" w:header="720" w:footer="720" w:gutter="0"/>
      <w:cols w:space="720" w:num="1" w:equalWidth="0">
        <w:col w:w="10520" w:space="0"/>
        <w:col w:w="10520" w:space="0"/>
        <w:col w:w="10528" w:space="0"/>
        <w:col w:w="10524" w:space="0"/>
        <w:col w:w="10528" w:space="0"/>
        <w:col w:w="10524" w:space="0"/>
        <w:col w:w="10514" w:space="0"/>
        <w:col w:w="10528" w:space="0"/>
        <w:col w:w="10524" w:space="0"/>
        <w:col w:w="10528" w:space="0"/>
        <w:col w:w="5836" w:space="0"/>
        <w:col w:w="4698" w:space="0"/>
        <w:col w:w="105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doi.org/10.3390/su13168772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s://www.mdpi.com/journal/sustainability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://doi.org/10.4236/ce.2018.915188" TargetMode="External"/><Relationship Id="rId19" Type="http://schemas.openxmlformats.org/officeDocument/2006/relationships/hyperlink" Target="http://doi.org/10.3126/jns.v5i0.19495" TargetMode="External"/><Relationship Id="rId20" Type="http://schemas.openxmlformats.org/officeDocument/2006/relationships/hyperlink" Target="http://doi.org/10.4236/ce.2020.1110145" TargetMode="External"/><Relationship Id="rId21" Type="http://schemas.openxmlformats.org/officeDocument/2006/relationships/hyperlink" Target="http://doi.org/10.6007/IJARBSS/v9-i2/5533" TargetMode="External"/><Relationship Id="rId22" Type="http://schemas.openxmlformats.org/officeDocument/2006/relationships/hyperlink" Target="http://doi.org/10.37200/ijr/v2415/pr201923" TargetMode="External"/><Relationship Id="rId23" Type="http://schemas.openxmlformats.org/officeDocument/2006/relationships/hyperlink" Target="http://doi.org/10.1016/j.sbspro.2010.12.289" TargetMode="External"/><Relationship Id="rId24" Type="http://schemas.openxmlformats.org/officeDocument/2006/relationships/hyperlink" Target="http://doi.org/10.4236/ce.2019.1012232" TargetMode="External"/><Relationship Id="rId25" Type="http://schemas.openxmlformats.org/officeDocument/2006/relationships/hyperlink" Target="http://doi.org/10.18510/hssr.2019.7426" TargetMode="External"/><Relationship Id="rId26" Type="http://schemas.openxmlformats.org/officeDocument/2006/relationships/hyperlink" Target="http://e-repository.perpus.iainsalatiga.ac.id/7955/" TargetMode="External"/><Relationship Id="rId27" Type="http://schemas.openxmlformats.org/officeDocument/2006/relationships/hyperlink" Target="http://doi.org/10.5539/elt.v7n2p110" TargetMode="External"/><Relationship Id="rId28" Type="http://schemas.openxmlformats.org/officeDocument/2006/relationships/hyperlink" Target="http://doi.org/10.2991/iccie-18.2019.37" TargetMode="External"/><Relationship Id="rId29" Type="http://schemas.openxmlformats.org/officeDocument/2006/relationships/hyperlink" Target="http://doi.org/10.1016/j.sbspro.2011.11.146" TargetMode="External"/><Relationship Id="rId30" Type="http://schemas.openxmlformats.org/officeDocument/2006/relationships/hyperlink" Target="http://doi.org/10.29407/jetar.v5i2.14633" TargetMode="External"/><Relationship Id="rId31" Type="http://schemas.openxmlformats.org/officeDocument/2006/relationships/hyperlink" Target="http://doi.org/10.24176/03.3201.07" TargetMode="External"/><Relationship Id="rId32" Type="http://schemas.openxmlformats.org/officeDocument/2006/relationships/hyperlink" Target="http://doi.org/10.30762/jeels.v5i2.509" TargetMode="External"/><Relationship Id="rId33" Type="http://schemas.openxmlformats.org/officeDocument/2006/relationships/hyperlink" Target="http://doi.org/10.7575/aiac.ijalel.v.5n.3p.261" TargetMode="External"/><Relationship Id="rId34" Type="http://schemas.openxmlformats.org/officeDocument/2006/relationships/hyperlink" Target="http://doi.org/10.29322/IJSRP.9.04.2019.p8814" TargetMode="External"/><Relationship Id="rId35" Type="http://schemas.openxmlformats.org/officeDocument/2006/relationships/hyperlink" Target="http://doi.org/10.1177/1098300717753833" TargetMode="External"/><Relationship Id="rId36" Type="http://schemas.openxmlformats.org/officeDocument/2006/relationships/hyperlink" Target="http://doi.org/10.24140/issn.1645-7250.rle41.03" TargetMode="External"/><Relationship Id="rId37" Type="http://schemas.openxmlformats.org/officeDocument/2006/relationships/hyperlink" Target="http://doi.org/10.1016/j.sbspro.2010.12.218" TargetMode="External"/><Relationship Id="rId38" Type="http://schemas.openxmlformats.org/officeDocument/2006/relationships/hyperlink" Target="http://doi.org/10.46930/ojsuda.v28i2.653" TargetMode="External"/><Relationship Id="rId39" Type="http://schemas.openxmlformats.org/officeDocument/2006/relationships/hyperlink" Target="http://doi.org/10.31597/sl.v5i2.423" TargetMode="External"/><Relationship Id="rId40" Type="http://schemas.openxmlformats.org/officeDocument/2006/relationships/hyperlink" Target="https://egrove.olemiss.edu/etd/899" TargetMode="External"/><Relationship Id="rId41" Type="http://schemas.openxmlformats.org/officeDocument/2006/relationships/hyperlink" Target="https://www.researchgate.net/publication/332468197" TargetMode="External"/><Relationship Id="rId42" Type="http://schemas.openxmlformats.org/officeDocument/2006/relationships/hyperlink" Target="http://doi.org/10.1093/elt/ccy059" TargetMode="External"/><Relationship Id="rId43" Type="http://schemas.openxmlformats.org/officeDocument/2006/relationships/hyperlink" Target="http://doi.org/10.25273/etj.v5i1.4726" TargetMode="External"/><Relationship Id="rId44" Type="http://schemas.openxmlformats.org/officeDocument/2006/relationships/hyperlink" Target="http://doi.org/10.1177/1046878119901286" TargetMode="External"/><Relationship Id="rId45" Type="http://schemas.openxmlformats.org/officeDocument/2006/relationships/hyperlink" Target="http://doi.org/10.1016/j.procs.2016.09.104" TargetMode="External"/><Relationship Id="rId46" Type="http://schemas.openxmlformats.org/officeDocument/2006/relationships/hyperlink" Target="https://bdigital.uexternado.edu.co/handle/001/855" TargetMode="External"/><Relationship Id="rId47" Type="http://schemas.openxmlformats.org/officeDocument/2006/relationships/hyperlink" Target="http://doi.org/10.26714/lensa.10.2.2020.263-279" TargetMode="External"/><Relationship Id="rId48" Type="http://schemas.openxmlformats.org/officeDocument/2006/relationships/hyperlink" Target="http://doi.org/10.5539/ijel.v10n1p183" TargetMode="External"/><Relationship Id="rId49" Type="http://schemas.openxmlformats.org/officeDocument/2006/relationships/hyperlink" Target="http://doi.org/10.33603/rill.v2i1.1642" TargetMode="External"/><Relationship Id="rId50" Type="http://schemas.openxmlformats.org/officeDocument/2006/relationships/hyperlink" Target="http://digilib.unila.ac.id/id/eprint/30285" TargetMode="External"/><Relationship Id="rId51" Type="http://schemas.openxmlformats.org/officeDocument/2006/relationships/hyperlink" Target="http://repository.unmuhjember.ac.id/6756/" TargetMode="External"/><Relationship Id="rId52" Type="http://schemas.openxmlformats.org/officeDocument/2006/relationships/hyperlink" Target="http://doi.org/10.35457/konstruk.v13i1.1082" TargetMode="External"/><Relationship Id="rId53" Type="http://schemas.openxmlformats.org/officeDocument/2006/relationships/hyperlink" Target="http://doi.org/10.5539/elt.v13n9p40" TargetMode="External"/><Relationship Id="rId54" Type="http://schemas.openxmlformats.org/officeDocument/2006/relationships/hyperlink" Target="http://repository.iainbengkulu.ac.id/269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