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42B72" w14:textId="32CF4FA7" w:rsidR="008463D2" w:rsidRDefault="00000000" w:rsidP="00072D8D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SMP</w:t>
      </w:r>
      <w:proofErr w:type="gramStart"/>
      <w:r>
        <w:rPr>
          <w:rFonts w:ascii="Arial" w:eastAsia="等线" w:hAnsi="Arial" w:cs="Arial"/>
          <w:b/>
          <w:sz w:val="52"/>
        </w:rPr>
        <w:t>微服务</w:t>
      </w:r>
      <w:proofErr w:type="gramEnd"/>
      <w:r>
        <w:rPr>
          <w:rFonts w:ascii="Arial" w:eastAsia="等线" w:hAnsi="Arial" w:cs="Arial"/>
          <w:b/>
          <w:sz w:val="52"/>
        </w:rPr>
        <w:t>平台介绍手册</w:t>
      </w:r>
    </w:p>
    <w:p w14:paraId="6EC3A135" w14:textId="77777777" w:rsidR="008463D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一、核心基础定义</w:t>
      </w:r>
      <w:bookmarkEnd w:id="0"/>
    </w:p>
    <w:p w14:paraId="620C6490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什么是</w:t>
      </w:r>
      <w:r>
        <w:rPr>
          <w:rFonts w:ascii="Arial" w:eastAsia="等线" w:hAnsi="Arial" w:cs="Arial"/>
          <w:b/>
          <w:sz w:val="30"/>
        </w:rPr>
        <w:t xml:space="preserve"> SMP</w:t>
      </w:r>
      <w:r>
        <w:rPr>
          <w:rFonts w:ascii="Arial" w:eastAsia="等线" w:hAnsi="Arial" w:cs="Arial"/>
          <w:b/>
          <w:sz w:val="30"/>
        </w:rPr>
        <w:t>？</w:t>
      </w:r>
      <w:bookmarkEnd w:id="1"/>
    </w:p>
    <w:p w14:paraId="107AE153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SMP </w:t>
      </w:r>
      <w:r>
        <w:rPr>
          <w:rFonts w:ascii="Arial" w:eastAsia="等线" w:hAnsi="Arial" w:cs="Arial"/>
        </w:rPr>
        <w:t>是恒生推出的企业</w:t>
      </w:r>
      <w:proofErr w:type="gramStart"/>
      <w:r>
        <w:rPr>
          <w:rFonts w:ascii="Arial" w:eastAsia="等线" w:hAnsi="Arial" w:cs="Arial"/>
        </w:rPr>
        <w:t>级微服务</w:t>
      </w:r>
      <w:proofErr w:type="gramEnd"/>
      <w:r>
        <w:rPr>
          <w:rFonts w:ascii="Arial" w:eastAsia="等线" w:hAnsi="Arial" w:cs="Arial"/>
        </w:rPr>
        <w:t>平台，为各类金融业务系统提供统一的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架构支撑，实现服务的注册发现、配置管理、路由转发、监控告警等核心能力，是恒生新一代分布式系统的基础底座。</w:t>
      </w:r>
    </w:p>
    <w:p w14:paraId="5522EE0A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0"/>
        </w:rPr>
        <w:t xml:space="preserve">1.2 SMP </w:t>
      </w:r>
      <w:r>
        <w:rPr>
          <w:rFonts w:ascii="Arial" w:eastAsia="等线" w:hAnsi="Arial" w:cs="Arial"/>
          <w:b/>
          <w:sz w:val="30"/>
        </w:rPr>
        <w:t>的核心功能是什么？</w:t>
      </w:r>
      <w:bookmarkEnd w:id="2"/>
    </w:p>
    <w:p w14:paraId="3812DB03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SMP </w:t>
      </w:r>
      <w:r>
        <w:rPr>
          <w:rFonts w:ascii="Arial" w:eastAsia="等线" w:hAnsi="Arial" w:cs="Arial"/>
        </w:rPr>
        <w:t>的核心功能包括：服务注册与发现、分布式配置中心、</w:t>
      </w: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网关、服务治理、链路追踪、监控告警、容器编排、统一认证授权等，为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应用提供全生命周期管理。</w:t>
      </w:r>
    </w:p>
    <w:p w14:paraId="4668D2B6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1.3 SMP </w:t>
      </w:r>
      <w:r>
        <w:rPr>
          <w:rFonts w:ascii="Arial" w:eastAsia="等线" w:hAnsi="Arial" w:cs="Arial"/>
          <w:b/>
          <w:sz w:val="30"/>
        </w:rPr>
        <w:t>的整体架构由哪些部分组成？</w:t>
      </w:r>
      <w:bookmarkEnd w:id="3"/>
    </w:p>
    <w:p w14:paraId="3E687B0A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SMP </w:t>
      </w:r>
      <w:r>
        <w:rPr>
          <w:rFonts w:ascii="Arial" w:eastAsia="等线" w:hAnsi="Arial" w:cs="Arial"/>
        </w:rPr>
        <w:t>采用分层架构设计，主要分为基础设施层、平台核心层、业务服务层和接入层四个部分，各层之间通过标准化接口进行交互，实现松耦合和高可扩展性。</w:t>
      </w:r>
    </w:p>
    <w:p w14:paraId="49451030" w14:textId="77777777" w:rsidR="008463D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 xml:space="preserve">SMP </w:t>
      </w:r>
      <w:r>
        <w:rPr>
          <w:rFonts w:ascii="Arial" w:eastAsia="等线" w:hAnsi="Arial" w:cs="Arial"/>
          <w:b/>
          <w:sz w:val="32"/>
        </w:rPr>
        <w:t>架构视图</w:t>
      </w:r>
      <w:bookmarkEnd w:id="4"/>
    </w:p>
    <w:p w14:paraId="798AEE4E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2.1 SMP </w:t>
      </w:r>
      <w:r>
        <w:rPr>
          <w:rFonts w:ascii="Arial" w:eastAsia="等线" w:hAnsi="Arial" w:cs="Arial"/>
          <w:b/>
          <w:sz w:val="30"/>
        </w:rPr>
        <w:t>系统上下文图</w:t>
      </w:r>
      <w:bookmarkEnd w:id="5"/>
    </w:p>
    <w:p w14:paraId="61E5239D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2E9432DA" w14:textId="77777777" w:rsidR="008463D2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178893" wp14:editId="52DF4E7C">
            <wp:extent cx="5257800" cy="394335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8F7E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2.2 SMP </w:t>
      </w:r>
      <w:r>
        <w:rPr>
          <w:rFonts w:ascii="Arial" w:eastAsia="等线" w:hAnsi="Arial" w:cs="Arial"/>
          <w:b/>
          <w:sz w:val="30"/>
        </w:rPr>
        <w:t>容器图</w:t>
      </w:r>
      <w:bookmarkEnd w:id="6"/>
    </w:p>
    <w:p w14:paraId="00E09464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42A97BF9" w14:textId="77777777" w:rsidR="008463D2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D2D824" wp14:editId="42BAC8E6">
            <wp:extent cx="5257800" cy="2295525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C969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2.3  SMP </w:t>
      </w:r>
      <w:r>
        <w:rPr>
          <w:rFonts w:ascii="Arial" w:eastAsia="等线" w:hAnsi="Arial" w:cs="Arial"/>
          <w:b/>
          <w:sz w:val="30"/>
        </w:rPr>
        <w:t>组件图</w:t>
      </w:r>
      <w:bookmarkEnd w:id="7"/>
    </w:p>
    <w:p w14:paraId="280CB12A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09F56104" w14:textId="77777777" w:rsidR="008463D2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BA0802" wp14:editId="05D1F026">
            <wp:extent cx="5257800" cy="3209925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983E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2.4 SMP </w:t>
      </w:r>
      <w:r>
        <w:rPr>
          <w:rFonts w:ascii="Arial" w:eastAsia="等线" w:hAnsi="Arial" w:cs="Arial"/>
          <w:b/>
          <w:sz w:val="30"/>
        </w:rPr>
        <w:t>物理部署图</w:t>
      </w:r>
      <w:bookmarkEnd w:id="8"/>
    </w:p>
    <w:p w14:paraId="43B8486E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0FBF8FDC" w14:textId="77777777" w:rsidR="008463D2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F696DA" wp14:editId="4C061A1D">
            <wp:extent cx="5257800" cy="5372100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3FA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2.5 SMP </w:t>
      </w:r>
      <w:r>
        <w:rPr>
          <w:rFonts w:ascii="Arial" w:eastAsia="等线" w:hAnsi="Arial" w:cs="Arial"/>
          <w:b/>
          <w:sz w:val="30"/>
        </w:rPr>
        <w:t>逻辑部署图</w:t>
      </w:r>
      <w:bookmarkEnd w:id="9"/>
    </w:p>
    <w:p w14:paraId="404B5B7B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26015979" w14:textId="77777777" w:rsidR="008463D2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249A1C" wp14:editId="1438FA44">
            <wp:extent cx="5257800" cy="4505325"/>
            <wp:effectExtent l="0" t="0" r="0" b="0"/>
            <wp:docPr id="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3DFE" w14:textId="77777777" w:rsidR="008463D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 xml:space="preserve">SMP </w:t>
      </w:r>
      <w:r>
        <w:rPr>
          <w:rFonts w:ascii="Arial" w:eastAsia="等线" w:hAnsi="Arial" w:cs="Arial"/>
          <w:b/>
          <w:sz w:val="32"/>
        </w:rPr>
        <w:t>核心组件功能</w:t>
      </w:r>
      <w:bookmarkEnd w:id="10"/>
    </w:p>
    <w:p w14:paraId="48A0F43E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3.1 SMP </w:t>
      </w:r>
      <w:r>
        <w:rPr>
          <w:rFonts w:ascii="Arial" w:eastAsia="等线" w:hAnsi="Arial" w:cs="Arial"/>
          <w:b/>
          <w:sz w:val="30"/>
        </w:rPr>
        <w:t>服务注册中心的作用是什么？</w:t>
      </w:r>
      <w:bookmarkEnd w:id="11"/>
    </w:p>
    <w:p w14:paraId="61C6C67D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回答：服务注册中心是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的核心组件之一，负责管理所有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的注册信息和状态。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启动时向注册中心注册自己的地址和端口，调用方通过注册中心获取目标服务的地址，实现服务的动态发现和负载均衡。</w:t>
      </w:r>
    </w:p>
    <w:p w14:paraId="21B98CB1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3.2 SMP </w:t>
      </w:r>
      <w:r>
        <w:rPr>
          <w:rFonts w:ascii="Arial" w:eastAsia="等线" w:hAnsi="Arial" w:cs="Arial"/>
          <w:b/>
          <w:sz w:val="30"/>
        </w:rPr>
        <w:t>配置中心的作用是什么？</w:t>
      </w:r>
      <w:bookmarkEnd w:id="12"/>
    </w:p>
    <w:p w14:paraId="66572FA0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回答：配置中心提供统一的配置管理功能，将所有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的配置信息集中存储和管理。支持配置的动态更新、版本控制和环境隔离，无需重</w:t>
      </w:r>
      <w:proofErr w:type="gramStart"/>
      <w:r>
        <w:rPr>
          <w:rFonts w:ascii="Arial" w:eastAsia="等线" w:hAnsi="Arial" w:cs="Arial"/>
        </w:rPr>
        <w:t>启服务</w:t>
      </w:r>
      <w:proofErr w:type="gramEnd"/>
      <w:r>
        <w:rPr>
          <w:rFonts w:ascii="Arial" w:eastAsia="等线" w:hAnsi="Arial" w:cs="Arial"/>
        </w:rPr>
        <w:t>即可使配置生效，大大提高了系统的可维护性。</w:t>
      </w:r>
    </w:p>
    <w:p w14:paraId="39CAF859" w14:textId="77777777" w:rsidR="008463D2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0"/>
        </w:rPr>
        <w:t xml:space="preserve">3.3 SMP API </w:t>
      </w:r>
      <w:r>
        <w:rPr>
          <w:rFonts w:ascii="Arial" w:eastAsia="等线" w:hAnsi="Arial" w:cs="Arial"/>
          <w:b/>
          <w:sz w:val="30"/>
        </w:rPr>
        <w:t>网关的作用是什么？</w:t>
      </w:r>
      <w:bookmarkEnd w:id="13"/>
    </w:p>
    <w:p w14:paraId="3AA64566" w14:textId="77777777" w:rsidR="008463D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网关是所有外部请求的统一入口，负责请求的路由转发、身份认证、权限校验、限流熔断和日志记录。将通用的非业务功能从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中剥离出来，简化了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的开发和维护。</w:t>
      </w:r>
    </w:p>
    <w:p w14:paraId="17C13672" w14:textId="562F838C" w:rsidR="008463D2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2"/>
        </w:rPr>
        <w:lastRenderedPageBreak/>
        <w:t>四、术语库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463D2" w14:paraId="4595CE9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6577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B6CF4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CDF8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D6A5B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8463D2" w14:paraId="2D17456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82A5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B1FC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AD34E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恒生推出的企业</w:t>
            </w:r>
            <w:proofErr w:type="gramStart"/>
            <w:r>
              <w:rPr>
                <w:rFonts w:ascii="Arial" w:eastAsia="等线" w:hAnsi="Arial" w:cs="Arial"/>
              </w:rPr>
              <w:t>级微服务</w:t>
            </w:r>
            <w:proofErr w:type="gramEnd"/>
            <w:r>
              <w:rPr>
                <w:rFonts w:ascii="Arial" w:eastAsia="等线" w:hAnsi="Arial" w:cs="Arial"/>
              </w:rPr>
              <w:t>架构支撑平台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95177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8463D2" w14:paraId="3A48192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68E5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服务注册中心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81486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831EB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注册与发现的核心组件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FEB06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8463D2" w14:paraId="026F3FB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A9E93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25553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分布式配置中心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4EF6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统一管理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配置信息的组件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E5F2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8463D2" w14:paraId="41F5511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B4DC9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API </w:t>
            </w:r>
            <w:r>
              <w:rPr>
                <w:rFonts w:ascii="Arial" w:eastAsia="等线" w:hAnsi="Arial" w:cs="Arial"/>
              </w:rPr>
              <w:t>网关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3BB63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8AB9D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所有外部请求的统一入口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C66ED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8463D2" w14:paraId="2539FBB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9628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容器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E6774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Docker </w:t>
            </w:r>
            <w:r>
              <w:rPr>
                <w:rFonts w:ascii="Arial" w:eastAsia="等线" w:hAnsi="Arial" w:cs="Arial"/>
              </w:rPr>
              <w:t>容器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3AEC5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轻量级的虚拟化技术，用于部署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AF67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8463D2" w14:paraId="104F1AD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AEB55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F0C6" w14:textId="77777777" w:rsidR="008463D2" w:rsidRDefault="008463D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AE0D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将单体应用拆分为多个</w:t>
            </w:r>
            <w:proofErr w:type="gramStart"/>
            <w:r>
              <w:rPr>
                <w:rFonts w:ascii="Arial" w:eastAsia="等线" w:hAnsi="Arial" w:cs="Arial"/>
              </w:rPr>
              <w:t>独立部署</w:t>
            </w:r>
            <w:proofErr w:type="gramEnd"/>
            <w:r>
              <w:rPr>
                <w:rFonts w:ascii="Arial" w:eastAsia="等线" w:hAnsi="Arial" w:cs="Arial"/>
              </w:rPr>
              <w:t>的小型服务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0590" w14:textId="77777777" w:rsidR="008463D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32A0FD05" w14:textId="7EDE9914" w:rsidR="008463D2" w:rsidRDefault="008463D2">
      <w:pPr>
        <w:spacing w:before="120" w:after="120" w:line="288" w:lineRule="auto"/>
        <w:rPr>
          <w:rFonts w:hint="eastAsia"/>
        </w:rPr>
      </w:pPr>
    </w:p>
    <w:sectPr w:rsidR="008463D2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10F3E" w14:textId="77777777" w:rsidR="0093483F" w:rsidRDefault="009348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2FC7E9" w14:textId="77777777" w:rsidR="0093483F" w:rsidRDefault="009348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AEDBC" w14:textId="77777777" w:rsidR="008463D2" w:rsidRDefault="008463D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DCDB2" w14:textId="77777777" w:rsidR="0093483F" w:rsidRDefault="009348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F141D5" w14:textId="77777777" w:rsidR="0093483F" w:rsidRDefault="009348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3D0A2" w14:textId="77777777" w:rsidR="008463D2" w:rsidRDefault="008463D2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3D2"/>
    <w:rsid w:val="00072D8D"/>
    <w:rsid w:val="008463D2"/>
    <w:rsid w:val="0088798C"/>
    <w:rsid w:val="0093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3444"/>
  <w15:docId w15:val="{069C4613-01C9-4AA2-8EDC-C472BE54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2</cp:revision>
  <dcterms:created xsi:type="dcterms:W3CDTF">2026-04-20T02:46:00Z</dcterms:created>
  <dcterms:modified xsi:type="dcterms:W3CDTF">2026-04-20T02:47:00Z</dcterms:modified>
</cp:coreProperties>
</file>