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Rule="auto" w:line="317"/>
        <w:jc w:val="center"/>
      </w:pPr>
      <w:r>
        <w:rPr>
          <w:rFonts w:ascii="微软雅黑" w:hAnsi="微软雅黑" w:eastAsia="宋体" w:cs="微软雅黑"/>
          <w:b/>
          <w:i w:val="0"/>
          <w:color w:val="B88A2E"/>
          <w:sz w:val="22"/>
        </w:rPr>
        <w:t>复兴岛星火社区  ·  OPC入驻申请</w:t>
      </w:r>
    </w:p>
    <w:p>
      <w:pPr>
        <w:spacing w:after="80" w:before="0" w:lineRule="auto" w:line="317"/>
        <w:jc w:val="center"/>
      </w:pPr>
      <w:r>
        <w:rPr>
          <w:rFonts w:ascii="微软雅黑" w:hAnsi="微软雅黑" w:eastAsia="宋体" w:cs="微软雅黑"/>
          <w:b/>
          <w:i w:val="0"/>
          <w:color w:val="1A3A5C"/>
          <w:sz w:val="40"/>
        </w:rPr>
        <w:t>正式稿合订本</w:t>
      </w:r>
    </w:p>
    <w:p>
      <w:pPr>
        <w:spacing w:after="120" w:before="0" w:lineRule="auto" w:line="317"/>
        <w:jc w:val="center"/>
      </w:pPr>
      <w:r>
        <w:rPr>
          <w:rFonts w:ascii="微软雅黑" w:hAnsi="微软雅黑" w:eastAsia="宋体" w:cs="微软雅黑"/>
          <w:b/>
          <w:i w:val="0"/>
          <w:color w:val="1F6B5C"/>
          <w:sz w:val="26"/>
        </w:rPr>
        <w:t>个人简介 + 业务计划书</w:t>
      </w:r>
    </w:p>
    <w:p>
      <w:pPr>
        <w:spacing w:after="200" w:before="0" w:lineRule="auto" w:line="317"/>
        <w:jc w:val="center"/>
      </w:pPr>
      <w:r>
        <w:rPr>
          <w:rFonts w:ascii="微软雅黑" w:hAnsi="微软雅黑" w:eastAsia="宋体" w:cs="微软雅黑"/>
          <w:b w:val="0"/>
          <w:i w:val="0"/>
          <w:color w:val="555555"/>
          <w:sz w:val="21"/>
        </w:rPr>
        <w:t>AI智能体开发  ·  产业智库型OPC  ·  首期：政策研究智能体</w:t>
      </w:r>
    </w:p>
    <w:p>
      <w:pPr>
        <w:spacing w:after="60" w:before="0" w:lineRule="auto" w:line="317"/>
        <w:jc w:val="center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申请人：胡继刚</w:t>
      </w:r>
    </w:p>
    <w:p>
      <w:pPr>
        <w:spacing w:after="60" w:before="0" w:lineRule="auto" w:line="317"/>
        <w:jc w:val="center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项目：AIDEN产业智能体</w:t>
      </w:r>
    </w:p>
    <w:p>
      <w:pPr>
        <w:spacing w:after="60" w:before="0" w:lineRule="auto" w:line="317"/>
        <w:jc w:val="center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赛道：AI智能体开发　　首期：政策研究智能体</w:t>
      </w:r>
    </w:p>
    <w:p>
      <w:pPr>
        <w:spacing w:after="80" w:before="160" w:lineRule="auto" w:line="317"/>
        <w:jc w:val="center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2026年9月6日  最终稿</w:t>
      </w:r>
    </w:p>
    <w:p>
      <w:pPr>
        <w:spacing w:after="160" w:before="120" w:lineRule="auto" w:line="317"/>
        <w:jc w:val="center"/>
      </w:pPr>
      <w:r>
        <w:rPr>
          <w:rFonts w:ascii="微软雅黑" w:hAnsi="微软雅黑" w:eastAsia="宋体" w:cs="微软雅黑"/>
          <w:b w:val="0"/>
          <w:i w:val="0"/>
          <w:color w:val="555555"/>
          <w:sz w:val="18"/>
        </w:rPr>
        <w:t>本稿只含正式上传正文，不含申请表粘贴稿和内部备忘。</w:t>
      </w:r>
    </w:p>
    <w:p>
      <w:pPr>
        <w:spacing w:after="160" w:before="160" w:lineRule="auto" w:line="317"/>
        <w:jc w:val="center"/>
      </w:pPr>
      <w:r>
        <w:rPr>
          <w:rFonts w:ascii="微软雅黑" w:hAnsi="微软雅黑" w:eastAsia="宋体" w:cs="微软雅黑"/>
          <w:b/>
          <w:i w:val="0"/>
          <w:color w:val="1A3A5C"/>
          <w:sz w:val="28"/>
        </w:rPr>
        <w:t>第一部分  个人简介</w:t>
      </w:r>
    </w:p>
    <w:p>
      <w:pPr>
        <w:spacing w:after="200" w:before="320" w:lineRule="auto" w:line="317"/>
        <w:jc w:val="left"/>
        <w:pBdr>
          <w:bottom w:val="single" w:sz="12" w:space="3" w:color="B88A2E"/>
        </w:pBdr>
      </w:pPr>
      <w:r>
        <w:rPr>
          <w:rFonts w:ascii="微软雅黑" w:hAnsi="微软雅黑" w:eastAsia="宋体" w:cs="微软雅黑"/>
          <w:b/>
          <w:i w:val="0"/>
          <w:color w:val="1A3A5C"/>
          <w:sz w:val="32"/>
        </w:rPr>
        <w:t>一、简介</w:t>
      </w:r>
    </w:p>
    <w:p>
      <w:pPr>
        <w:spacing w:after="160" w:before="0" w:lineRule="auto" w:line="317"/>
        <w:ind w:firstLine="420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胡继刚，男，汉族，1987年4月25日生，籍贯山东青岛。中国海洋大学土木工程专业毕业，获工学学士学位；复旦大学工商管理硕士（财务金融方向）。专业技术职称以证书原文为准：副教授级高级工程师；并具会计师资格。2011年6月参加工作。</w:t>
      </w:r>
    </w:p>
    <w:p>
      <w:pPr>
        <w:spacing w:after="160" w:before="0" w:lineRule="auto" w:line="317"/>
        <w:ind w:firstLine="420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2011年至2021年，先后在中南建设、新城控股、万科从事战略企划、投资拓展与产业运营，参与项目研判和城市更新相关前期工作。2017年3月至2021年6月任万科企业集团上海区域江浙事业部投资副总经理。2021年6月起担任复旦大学住房政策研究中心秘书长，并任复旦MBA不动产资产管理协会秘书长。现任上海市杨浦区科技企业联合会执行会长。</w:t>
      </w:r>
    </w:p>
    <w:p>
      <w:pPr>
        <w:spacing w:after="160" w:before="0" w:lineRule="auto" w:line="317"/>
        <w:ind w:firstLine="420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上述经历用于定义产品和验证需求：投资与产业运营经验帮助识别城市更新和项目现场的真实问题；住房政策研究工作训练政策文本拆解与口径把关，对应首期政策研究智能体；科技企业联合会工作提供科技企业服务与创新创业场景，对应企业画像和产业研究的后续验证。</w:t>
      </w:r>
    </w:p>
    <w:p>
      <w:pPr>
        <w:spacing w:after="160" w:before="0" w:lineRule="auto" w:line="317"/>
        <w:ind w:firstLine="420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现发起AIDEN产业智能体，赛道为AI智能体开发，定位「AI+产业研究+科技企业服务」的产业智库型OPC，首期开发政策研究智能体。本项目由胡继刚个人发起，目前尚未在杨浦注册OPC公司，拟入驻后依法设立新主体。申请人参与的高校研究平台及社会组织为个人研究与工作背景，不作为本项目经营主体。</w:t>
      </w:r>
    </w:p>
    <w:p>
      <w:pPr>
        <w:spacing w:after="200" w:before="320" w:lineRule="auto" w:line="317"/>
        <w:jc w:val="left"/>
        <w:pBdr>
          <w:bottom w:val="single" w:sz="12" w:space="3" w:color="B88A2E"/>
        </w:pBdr>
      </w:pPr>
      <w:r>
        <w:rPr>
          <w:rFonts w:ascii="微软雅黑" w:hAnsi="微软雅黑" w:eastAsia="宋体" w:cs="微软雅黑"/>
          <w:b/>
          <w:i w:val="0"/>
          <w:color w:val="1A3A5C"/>
          <w:sz w:val="32"/>
        </w:rPr>
        <w:t>二、学习与工作简历</w:t>
      </w:r>
    </w:p>
    <w:p>
      <w:pPr>
        <w:spacing w:after="60" w:before="0" w:lineRule="auto" w:line="317"/>
        <w:jc w:val="left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2007.09–2011.07  中国海洋大学土木工程专业，工学学士</w:t>
      </w:r>
    </w:p>
    <w:p>
      <w:pPr>
        <w:spacing w:after="60" w:before="0" w:lineRule="auto" w:line="317"/>
        <w:jc w:val="left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2011.06–2012.10  中南建设集团／中南控股 战略企划管理主管</w:t>
      </w:r>
    </w:p>
    <w:p>
      <w:pPr>
        <w:spacing w:after="60" w:before="0" w:lineRule="auto" w:line="317"/>
        <w:jc w:val="left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2012.10–2015.10  中南建设集团新项目发展中心 投资拓展经理</w:t>
      </w:r>
    </w:p>
    <w:p>
      <w:pPr>
        <w:spacing w:after="60" w:before="0" w:lineRule="auto" w:line="317"/>
        <w:jc w:val="left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2015.11–2017.02  新城控股集团战略投资中心 投资拓展资深专业经理</w:t>
      </w:r>
    </w:p>
    <w:p>
      <w:pPr>
        <w:spacing w:after="60" w:before="0" w:lineRule="auto" w:line="317"/>
        <w:jc w:val="left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2017.03–2021.06  万科企业集团上海区域江浙事业部 投资副总经理</w:t>
      </w:r>
    </w:p>
    <w:p>
      <w:pPr>
        <w:spacing w:after="60" w:before="0" w:lineRule="auto" w:line="317"/>
        <w:jc w:val="left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2018.09–2021.06  复旦大学工商管理硕士（财务金融方向，在职）</w:t>
      </w:r>
    </w:p>
    <w:p>
      <w:pPr>
        <w:spacing w:after="60" w:before="0" w:lineRule="auto" w:line="317"/>
        <w:jc w:val="left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2021.06–至今      复旦大学住房政策研究中心 秘书长</w:t>
      </w:r>
    </w:p>
    <w:p>
      <w:pPr>
        <w:spacing w:after="200" w:before="320" w:lineRule="auto" w:line="317"/>
        <w:jc w:val="left"/>
        <w:pBdr>
          <w:bottom w:val="single" w:sz="12" w:space="3" w:color="B88A2E"/>
        </w:pBdr>
      </w:pPr>
      <w:r>
        <w:rPr>
          <w:rFonts w:ascii="微软雅黑" w:hAnsi="微软雅黑" w:eastAsia="宋体" w:cs="微软雅黑"/>
          <w:b/>
          <w:i w:val="0"/>
          <w:color w:val="1A3A5C"/>
          <w:sz w:val="32"/>
        </w:rPr>
        <w:t>三、专业技术职称与研究、社会职务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309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09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依据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专业技术职称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副教授级高级工程师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按证书原文；与研究平台职务分开填写</w:t>
            </w:r>
          </w:p>
        </w:tc>
      </w:tr>
      <w:tr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专业技术资格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会计师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按证书原文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研究平台职务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复旦大学住房政策研究中心秘书长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任职材料；非本项目经营主体</w:t>
            </w:r>
          </w:p>
        </w:tc>
      </w:tr>
      <w:tr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研究平台职务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复旦MBA不动产资产管理协会秘书长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任职材料；非本项目经营主体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社会组织职务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上海市杨浦区科技企业联合会执行会长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任职材料；非本项目经营主体</w:t>
            </w:r>
          </w:p>
        </w:tc>
      </w:tr>
    </w:tbl>
    <w:p/>
    <w:p>
      <w:pPr>
        <w:spacing w:after="200" w:before="320" w:lineRule="auto" w:line="317"/>
        <w:jc w:val="left"/>
        <w:pBdr>
          <w:bottom w:val="single" w:sz="12" w:space="3" w:color="B88A2E"/>
        </w:pBdr>
      </w:pPr>
      <w:r>
        <w:rPr>
          <w:rFonts w:ascii="微软雅黑" w:hAnsi="微软雅黑" w:eastAsia="宋体" w:cs="微软雅黑"/>
          <w:b/>
          <w:i w:val="0"/>
          <w:color w:val="1A3A5C"/>
          <w:sz w:val="32"/>
        </w:rPr>
        <w:t>四、与项目相关的公开证明</w:t>
      </w:r>
    </w:p>
    <w:p>
      <w:pPr>
        <w:pStyle w:val="ListBullet"/>
        <w:spacing w:after="80" w:line="300" w:lineRule="auto"/>
      </w:pPr>
      <w:r>
        <w:rPr>
          <w:rFonts w:ascii="微软雅黑" w:hAnsi="微软雅黑" w:eastAsia="宋体" w:cs="微软雅黑"/>
          <w:b w:val="0"/>
          <w:color w:val="222222"/>
          <w:sz w:val="22"/>
        </w:rPr>
        <w:t>2026年5月  主持「2026人工智能商业化落地与硬核投资破局峰会」圆桌对话，对应科技企业服务与创新创业研究。出处：https://www.cnr.cn/shanghai/tt/20260526/t20260526_527636297.shtml</w:t>
      </w:r>
    </w:p>
    <w:p>
      <w:pPr>
        <w:pStyle w:val="ListBullet"/>
        <w:spacing w:after="80" w:line="300" w:lineRule="auto"/>
      </w:pPr>
      <w:r>
        <w:rPr>
          <w:rFonts w:ascii="微软雅黑" w:hAnsi="微软雅黑" w:eastAsia="宋体" w:cs="微软雅黑"/>
          <w:b w:val="0"/>
          <w:color w:val="222222"/>
          <w:sz w:val="22"/>
        </w:rPr>
        <w:t>2026年3月  参加杨浦「北欧创新国际会客厅」揭牌交流，对应科技企业国际化与产业服务场景。出处：https://www.shyp.gov.cn/shypq/xwzx-bmdt/20260310/501286.html</w:t>
      </w:r>
    </w:p>
    <w:p>
      <w:pPr>
        <w:spacing w:after="160" w:before="0" w:lineRule="auto" w:line="317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1"/>
        </w:rPr>
        <w:t>可展示成果目前为政策研究输出样例（字段设计与三条示意记录），见业务计划书「首期产品」一节。该样例说明产品形态，不是已上线系统截图；研究材料由本人使用AI辅助完成，正在产品化。</w:t>
      </w:r>
    </w:p>
    <w:p>
      <w:r>
        <w:br w:type="page"/>
      </w:r>
    </w:p>
    <w:p>
      <w:pPr>
        <w:spacing w:after="160" w:before="0" w:lineRule="auto" w:line="317"/>
        <w:jc w:val="center"/>
      </w:pPr>
      <w:r>
        <w:rPr>
          <w:rFonts w:ascii="微软雅黑" w:hAnsi="微软雅黑" w:eastAsia="宋体" w:cs="微软雅黑"/>
          <w:b/>
          <w:i w:val="0"/>
          <w:color w:val="1A3A5C"/>
          <w:sz w:val="28"/>
        </w:rPr>
        <w:t>第二部分  业务计划书</w:t>
      </w:r>
    </w:p>
    <w:p>
      <w:pPr>
        <w:spacing w:after="80" w:before="0" w:lineRule="auto" w:line="317"/>
        <w:jc w:val="center"/>
      </w:pPr>
      <w:r>
        <w:rPr>
          <w:rFonts w:ascii="微软雅黑" w:hAnsi="微软雅黑" w:eastAsia="宋体" w:cs="微软雅黑"/>
          <w:b/>
          <w:i w:val="0"/>
          <w:color w:val="1A3A5C"/>
          <w:sz w:val="32"/>
        </w:rPr>
        <w:t>AIDEN产业智能体</w:t>
      </w:r>
    </w:p>
    <w:p>
      <w:pPr>
        <w:spacing w:after="200" w:before="0" w:lineRule="auto" w:line="317"/>
        <w:jc w:val="center"/>
      </w:pPr>
      <w:r>
        <w:rPr>
          <w:rFonts w:ascii="微软雅黑" w:hAnsi="微软雅黑" w:eastAsia="宋体" w:cs="微软雅黑"/>
          <w:b/>
          <w:i w:val="0"/>
          <w:color w:val="1F6B5C"/>
          <w:sz w:val="24"/>
        </w:rPr>
        <w:t>复兴岛星火社区入驻业务计划书</w:t>
      </w:r>
    </w:p>
    <w:p>
      <w:pPr>
        <w:spacing w:after="200" w:before="320" w:lineRule="auto" w:line="317"/>
        <w:jc w:val="left"/>
        <w:pBdr>
          <w:bottom w:val="single" w:sz="12" w:space="3" w:color="B88A2E"/>
        </w:pBdr>
      </w:pPr>
      <w:r>
        <w:rPr>
          <w:rFonts w:ascii="微软雅黑" w:hAnsi="微软雅黑" w:eastAsia="宋体" w:cs="微软雅黑"/>
          <w:b/>
          <w:i w:val="0"/>
          <w:color w:val="1A3A5C"/>
          <w:sz w:val="32"/>
        </w:rPr>
        <w:t>一、项目概述</w:t>
      </w:r>
    </w:p>
    <w:p>
      <w:pPr>
        <w:spacing w:after="160" w:before="0" w:lineRule="auto" w:line="317"/>
        <w:ind w:firstLine="420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项目名称：AIDEN产业智能体。申报赛道：AI智能体开发。定位：「AI+产业研究+科技企业服务」的产业智库型OPC。组织方式：1名创始人负责运营，调用智能体完成检索、结构化、起草，经人工复核后交付；初期不另聘全职员工。</w:t>
      </w:r>
    </w:p>
    <w:p>
      <w:pPr>
        <w:spacing w:after="160" w:before="0" w:lineRule="auto" w:line="317"/>
        <w:ind w:firstLine="420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要解决的问题：科技企业、园区和街道在适用政策、判断产业方向、做招商匹配和城市更新对照时，公开文本分散，通用对话难以稳定提供带来源、有效期和适用条件的结果。</w:t>
      </w:r>
    </w:p>
    <w:p>
      <w:pPr>
        <w:spacing w:after="160" w:before="0" w:lineRule="auto" w:line="317"/>
        <w:ind w:firstLine="420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产品为四类智能体：政策研究、产业研究、企业画像与招商匹配、城市更新案例库。首期聚焦政策研究智能体，其余分阶段开发。活动方案、研讨材料和会务协同仅作为经授权的配套业务，不是主产品。</w:t>
      </w:r>
    </w:p>
    <w:p>
      <w:pPr>
        <w:spacing w:after="160" w:before="0" w:lineRule="auto" w:line="317"/>
        <w:ind w:firstLine="420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本项目由胡继刚个人发起，目前尚未在杨浦注册OPC公司，拟入驻后依法设立新主体。申请人参与的高校研究平台及社会组织为个人研究与工作背景，不作为本项目经营主体。</w:t>
      </w:r>
    </w:p>
    <w:p>
      <w:pPr>
        <w:spacing w:after="200" w:before="320" w:lineRule="auto" w:line="317"/>
        <w:jc w:val="left"/>
        <w:pBdr>
          <w:bottom w:val="single" w:sz="12" w:space="3" w:color="B88A2E"/>
        </w:pBdr>
      </w:pPr>
      <w:r>
        <w:rPr>
          <w:rFonts w:ascii="微软雅黑" w:hAnsi="微软雅黑" w:eastAsia="宋体" w:cs="微软雅黑"/>
          <w:b/>
          <w:i w:val="0"/>
          <w:color w:val="1A3A5C"/>
          <w:sz w:val="32"/>
        </w:rPr>
        <w:t>二、用户与四类产品</w:t>
      </w:r>
    </w:p>
    <w:p>
      <w:pPr>
        <w:spacing w:after="160" w:before="0" w:lineRule="auto" w:line="317"/>
        <w:ind w:firstLine="420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主要用户为科技型中小企业、园区与街道产业服务部门、科技园区运营和招商人员。政策研究智能体服务「这家企业能用哪些政策」；产业研究智能体服务议题简报；企业画像与招商匹配智能体服务园区招商对照；城市更新案例库智能体服务相似案例检索。</w:t>
      </w:r>
    </w:p>
    <w:p>
      <w:pPr>
        <w:spacing w:after="160" w:before="0" w:lineRule="auto" w:line="317"/>
        <w:ind w:firstLine="420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每类产品均按同一口径描述：用户输入什么、系统完成什么、最终输出什么。首期只把政策研究做到可当面演示清单输出；其余三类不在第一年并行铺开。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860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产品</w:t>
            </w:r>
          </w:p>
        </w:tc>
        <w:tc>
          <w:tcPr>
            <w:tcW w:type="dxa" w:w="1860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860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输入</w:t>
            </w:r>
          </w:p>
        </w:tc>
        <w:tc>
          <w:tcPr>
            <w:tcW w:type="dxa" w:w="1860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系统完成</w:t>
            </w:r>
          </w:p>
        </w:tc>
        <w:tc>
          <w:tcPr>
            <w:tcW w:type="dxa" w:w="1860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输出</w:t>
            </w:r>
          </w:p>
        </w:tc>
      </w:tr>
      <w:tr>
        <w:tc>
          <w:tcPr>
            <w:tcW w:type="dxa" w:w="1860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政策研究智能体</w:t>
            </w:r>
          </w:p>
        </w:tc>
        <w:tc>
          <w:tcPr>
            <w:tcW w:type="dxa" w:w="1860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首期 · 正在产品化</w:t>
            </w:r>
          </w:p>
        </w:tc>
        <w:tc>
          <w:tcPr>
            <w:tcW w:type="dxa" w:w="1860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企业基本情况、研究主题；可选已有材料。</w:t>
            </w:r>
          </w:p>
        </w:tc>
        <w:tc>
          <w:tcPr>
            <w:tcW w:type="dxa" w:w="1860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检索政策原文，抽取来源、有效期、适用条件，标出待人工确认事项。</w:t>
            </w:r>
          </w:p>
        </w:tc>
        <w:tc>
          <w:tcPr>
            <w:tcW w:type="dxa" w:w="1860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政策清单 + 适用说明 + 待确认事项。</w:t>
            </w:r>
          </w:p>
        </w:tc>
      </w:tr>
      <w:tr>
        <w:tc>
          <w:tcPr>
            <w:tcW w:type="dxa" w:w="1860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产业研究智能体</w:t>
            </w:r>
          </w:p>
        </w:tc>
        <w:tc>
          <w:tcPr>
            <w:tcW w:type="dxa" w:w="1860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分阶段开发</w:t>
            </w:r>
          </w:p>
        </w:tc>
        <w:tc>
          <w:tcPr>
            <w:tcW w:type="dxa" w:w="1860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行业问题、区域范围、公开数据或已有材料。</w:t>
            </w:r>
          </w:p>
        </w:tc>
        <w:tc>
          <w:tcPr>
            <w:tcW w:type="dxa" w:w="1860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检索公开信息、归纳结构、起草综述并标出待核实处。</w:t>
            </w:r>
          </w:p>
        </w:tc>
        <w:tc>
          <w:tcPr>
            <w:tcW w:type="dxa" w:w="1860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议题简报、白皮书初稿或一页纸结论。</w:t>
            </w:r>
          </w:p>
        </w:tc>
      </w:tr>
      <w:tr>
        <w:tc>
          <w:tcPr>
            <w:tcW w:type="dxa" w:w="1860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企业画像与招商匹配智能体</w:t>
            </w:r>
          </w:p>
        </w:tc>
        <w:tc>
          <w:tcPr>
            <w:tcW w:type="dxa" w:w="1860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分阶段开发</w:t>
            </w:r>
          </w:p>
        </w:tc>
        <w:tc>
          <w:tcPr>
            <w:tcW w:type="dxa" w:w="1860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企业公开信息、园区产业方向和招商条件。</w:t>
            </w:r>
          </w:p>
        </w:tc>
        <w:tc>
          <w:tcPr>
            <w:tcW w:type="dxa" w:w="1860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做标签化画像，按产业方向匹配，说明理由与缺口。</w:t>
            </w:r>
          </w:p>
        </w:tc>
        <w:tc>
          <w:tcPr>
            <w:tcW w:type="dxa" w:w="1860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企业画像卡、匹配说明（不承诺成交）。</w:t>
            </w:r>
          </w:p>
        </w:tc>
      </w:tr>
      <w:tr>
        <w:tc>
          <w:tcPr>
            <w:tcW w:type="dxa" w:w="1860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城市更新案例库智能体</w:t>
            </w:r>
          </w:p>
        </w:tc>
        <w:tc>
          <w:tcPr>
            <w:tcW w:type="dxa" w:w="1860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分阶段开发</w:t>
            </w:r>
          </w:p>
        </w:tc>
        <w:tc>
          <w:tcPr>
            <w:tcW w:type="dxa" w:w="1860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案例文本、规划说明、现场问题。</w:t>
            </w:r>
          </w:p>
        </w:tc>
        <w:tc>
          <w:tcPr>
            <w:tcW w:type="dxa" w:w="1860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切片入库、按问题检索相似案例，带着原文片段生成对照建议。</w:t>
            </w:r>
          </w:p>
        </w:tc>
        <w:tc>
          <w:tcPr>
            <w:tcW w:type="dxa" w:w="1860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案例卡 + 出处 + 对照表。</w:t>
            </w:r>
          </w:p>
        </w:tc>
      </w:tr>
    </w:tbl>
    <w:p/>
    <w:p>
      <w:pPr>
        <w:spacing w:after="200" w:before="320" w:lineRule="auto" w:line="317"/>
        <w:jc w:val="left"/>
        <w:pBdr>
          <w:bottom w:val="single" w:sz="12" w:space="3" w:color="B88A2E"/>
        </w:pBdr>
      </w:pPr>
      <w:r>
        <w:rPr>
          <w:rFonts w:ascii="微软雅黑" w:hAnsi="微软雅黑" w:eastAsia="宋体" w:cs="微软雅黑"/>
          <w:b/>
          <w:i w:val="0"/>
          <w:color w:val="1A3A5C"/>
          <w:sz w:val="32"/>
        </w:rPr>
        <w:t>三、首期产品：政策研究智能体</w:t>
      </w:r>
    </w:p>
    <w:p>
      <w:pPr>
        <w:spacing w:after="160" w:before="0" w:lineRule="auto" w:line="317"/>
        <w:ind w:firstLine="420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选择政策研究作为首期，是因为科技企业最常见的需求是「按自身情况找到仍有效、可适用的政策」，适合用大模型加RAG知识库，而不是一次性生成无出处综述。</w:t>
      </w:r>
    </w:p>
    <w:p>
      <w:pPr>
        <w:spacing w:after="160" w:before="0" w:lineRule="auto" w:line="317"/>
        <w:ind w:firstLine="420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典型路径：输入企业基本情况和研究主题 → 在已入库的公开政策中检索原文 → 输出带来源、有效期及适用条件的政策清单，并列出待人工确认事项。下表为字段与示意记录，用于说明交付形态，不是已上线系统截图。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64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输入（样例）</w:t>
            </w:r>
          </w:p>
        </w:tc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企业：杨浦科技型中小企业，有研发费用；主题：研发费用加计扣除及区级扶持。</w:t>
            </w:r>
          </w:p>
        </w:tc>
      </w:tr>
      <w:tr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系统完成</w:t>
            </w:r>
          </w:p>
        </w:tc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检索公开政策原文，抽取来源、有效期、适用条件，对照企业情况列出可能相关条款，并标待确认项。</w:t>
            </w:r>
          </w:p>
        </w:tc>
      </w:tr>
      <w:tr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输出（样例）</w:t>
            </w:r>
          </w:p>
        </w:tc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政策清单（名称、文号/来源、有效期、适用条件）+ 待人工确认事项。下表为字段设计，不是系统截图。</w:t>
            </w:r>
          </w:p>
        </w:tc>
      </w:tr>
      <w:tr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本人已完成</w:t>
            </w:r>
          </w:p>
        </w:tc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问题定义、字段设计，以及用AI辅助完成研究材料的实践。尚未完成规模化知识库和可对外演示界面。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860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政策名称</w:t>
            </w:r>
          </w:p>
        </w:tc>
        <w:tc>
          <w:tcPr>
            <w:tcW w:type="dxa" w:w="1860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文号／来源</w:t>
            </w:r>
          </w:p>
        </w:tc>
        <w:tc>
          <w:tcPr>
            <w:tcW w:type="dxa" w:w="1860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有效期</w:t>
            </w:r>
          </w:p>
        </w:tc>
        <w:tc>
          <w:tcPr>
            <w:tcW w:type="dxa" w:w="1860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适用条件（摘要）</w:t>
            </w:r>
          </w:p>
        </w:tc>
        <w:tc>
          <w:tcPr>
            <w:tcW w:type="dxa" w:w="1860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待人工确认</w:t>
            </w:r>
          </w:p>
        </w:tc>
      </w:tr>
      <w:tr>
        <w:tc>
          <w:tcPr>
            <w:tcW w:type="dxa" w:w="1860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研发费用加计扣除（公开政策）</w:t>
            </w:r>
          </w:p>
        </w:tc>
        <w:tc>
          <w:tcPr>
            <w:tcW w:type="dxa" w:w="1860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以财政部、税务总局公开公告原文为准</w:t>
            </w:r>
          </w:p>
        </w:tc>
        <w:tc>
          <w:tcPr>
            <w:tcW w:type="dxa" w:w="1860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以原文为准</w:t>
            </w:r>
          </w:p>
        </w:tc>
        <w:tc>
          <w:tcPr>
            <w:tcW w:type="dxa" w:w="1860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研发费用归集、行业与加计比例以原文为准</w:t>
            </w:r>
          </w:p>
        </w:tc>
        <w:tc>
          <w:tcPr>
            <w:tcW w:type="dxa" w:w="1860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该企业费用归集是否符合加计范围</w:t>
            </w:r>
          </w:p>
        </w:tc>
      </w:tr>
      <w:tr>
        <w:tc>
          <w:tcPr>
            <w:tcW w:type="dxa" w:w="1860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高新技术企业或科技型中小企业相关支持（公开政策）</w:t>
            </w:r>
          </w:p>
        </w:tc>
        <w:tc>
          <w:tcPr>
            <w:tcW w:type="dxa" w:w="1860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以国家或上海市公开文件原文为准</w:t>
            </w:r>
          </w:p>
        </w:tc>
        <w:tc>
          <w:tcPr>
            <w:tcW w:type="dxa" w:w="1860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以原文为准</w:t>
            </w:r>
          </w:p>
        </w:tc>
        <w:tc>
          <w:tcPr>
            <w:tcW w:type="dxa" w:w="1860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资质、注册地、产业方向以原文为准</w:t>
            </w:r>
          </w:p>
        </w:tc>
        <w:tc>
          <w:tcPr>
            <w:tcW w:type="dxa" w:w="1860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资质是否在有效期、本年度是否仍可申报</w:t>
            </w:r>
          </w:p>
        </w:tc>
      </w:tr>
      <w:tr>
        <w:tc>
          <w:tcPr>
            <w:tcW w:type="dxa" w:w="1860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杨浦区科技企业扶持（公开文件，示例）</w:t>
            </w:r>
          </w:p>
        </w:tc>
        <w:tc>
          <w:tcPr>
            <w:tcW w:type="dxa" w:w="1860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以区政府或主管部门公开文本为准</w:t>
            </w:r>
          </w:p>
        </w:tc>
        <w:tc>
          <w:tcPr>
            <w:tcW w:type="dxa" w:w="1860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以原文为准</w:t>
            </w:r>
          </w:p>
        </w:tc>
        <w:tc>
          <w:tcPr>
            <w:tcW w:type="dxa" w:w="1860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注册地、产业方向、申报期以原文为准</w:t>
            </w:r>
          </w:p>
        </w:tc>
        <w:tc>
          <w:tcPr>
            <w:tcW w:type="dxa" w:w="1860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是否仍在申报期、额度是否剩余</w:t>
            </w:r>
          </w:p>
        </w:tc>
      </w:tr>
    </w:tbl>
    <w:p/>
    <w:p>
      <w:pPr>
        <w:spacing w:after="200" w:before="320" w:lineRule="auto" w:line="317"/>
        <w:jc w:val="left"/>
        <w:pBdr>
          <w:bottom w:val="single" w:sz="12" w:space="3" w:color="B88A2E"/>
        </w:pBdr>
      </w:pPr>
      <w:r>
        <w:rPr>
          <w:rFonts w:ascii="微软雅黑" w:hAnsi="微软雅黑" w:eastAsia="宋体" w:cs="微软雅黑"/>
          <w:b/>
          <w:i w:val="0"/>
          <w:color w:val="1A3A5C"/>
          <w:sz w:val="32"/>
        </w:rPr>
        <w:t>四、技术实现、进展与分工</w:t>
      </w:r>
    </w:p>
    <w:p>
      <w:pPr>
        <w:spacing w:after="160" w:before="0" w:lineRule="auto" w:line="317"/>
        <w:ind w:firstLine="420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第一年不自研底层大模型。实现流程为：资料整理入库、检索与引用、多智能体任务分工、人工复核、结果交付。回答必须带来源；未经授权的内部数据不用于模型训练。</w:t>
      </w:r>
    </w:p>
    <w:p>
      <w:pPr>
        <w:spacing w:after="160" w:before="0" w:lineRule="auto" w:line="317"/>
        <w:ind w:firstLine="420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现有进展需要分开表述。已经开展的是AI辅助研究实践，用于简报、白皮书初稿和政策要点整理，证明创始人能够把关口径和交付结构，但工作区使用经历不等于成熟产品。正在将相关流程产品化为可演示的政策研究智能体。目前没有对外演示链接、账号或付费合同。</w:t>
      </w:r>
    </w:p>
    <w:p>
      <w:pPr>
        <w:spacing w:after="160" w:before="0" w:lineRule="auto" w:line="317"/>
        <w:ind w:firstLine="420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知识库建设、流程编排、测试与维护由创始人承担。向量库部署、界面实现等必要技术协作按任务外协，初期不另聘全职员工。未获社区Tokens或工具支持时，使用现有商业接口和本地文档库继续开发。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309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承担人</w:t>
            </w:r>
          </w:p>
        </w:tc>
        <w:tc>
          <w:tcPr>
            <w:tcW w:type="dxa" w:w="309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做什么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资料整理入库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创始人主导，智能体辅助切片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收集公开或经授权的政策文本，按文号、时效、适用对象建库。</w:t>
            </w:r>
          </w:p>
        </w:tc>
      </w:tr>
      <w:tr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检索与引用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检索Agent + RAG知识库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按企业情况与主题检索，回答必须附原文片段或文号来源。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任务分工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多智能体协同，创始人编排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检索、结构化抽取、清单起草分开执行，避免一次生成无出处综述。</w:t>
            </w:r>
          </w:p>
        </w:tc>
      </w:tr>
      <w:tr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人工复核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创始人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核对有效期、适用条件与口径，确认待核实项后再签发。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结果交付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创始人签发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输出政策清单、适用说明和待确认事项。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464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已完成</w:t>
            </w:r>
          </w:p>
        </w:tc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四类产品定义；政策研究输出字段（名称、文号/来源、有效期、适用条件、待确认事项）。</w:t>
            </w:r>
          </w:p>
        </w:tc>
      </w:tr>
      <w:tr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已完成</w:t>
            </w:r>
          </w:p>
        </w:tc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已开展AI辅助研究实践：用于研究简报、白皮书初稿和政策要点整理，仅本人使用，不等于成熟产品。</w:t>
            </w:r>
          </w:p>
        </w:tc>
      </w:tr>
      <w:tr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正在开发</w:t>
            </w:r>
          </w:p>
        </w:tc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将上述实践产品化为政策研究智能体：政策入库、RAG检索与引用、多智能体分工、人工复核。尚无可对外访问的演示链接。</w:t>
            </w:r>
          </w:p>
        </w:tc>
      </w:tr>
      <w:tr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计划开发</w:t>
            </w:r>
          </w:p>
        </w:tc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产业研究智能体、企业画像与招商匹配智能体、城市更新案例库智能体，按验证结果分阶段启动。</w:t>
            </w:r>
          </w:p>
        </w:tc>
      </w:tr>
      <w:tr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尚未开始</w:t>
            </w:r>
          </w:p>
        </w:tc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对外付费签约、SaaS上线。已实现营业收入为0，尚无对外付费合同。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工作</w:t>
            </w:r>
          </w:p>
        </w:tc>
        <w:tc>
          <w:tcPr>
            <w:tcW w:type="dxa" w:w="309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由谁承担</w:t>
            </w:r>
          </w:p>
        </w:tc>
        <w:tc>
          <w:tcPr>
            <w:tcW w:type="dxa" w:w="309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如何落实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知识库建设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创始人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持续收集公开政策、切片校对、失效文本下线。</w:t>
            </w:r>
          </w:p>
        </w:tc>
      </w:tr>
      <w:tr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流程编排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创始人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拆解多智能体任务、维护提示词与引用规则。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测试与维护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创始人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用例回归、输出抽检、政策更新后复测。</w:t>
            </w:r>
          </w:p>
        </w:tc>
      </w:tr>
      <w:tr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必要技术协作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按任务外协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向量库部署、界面实现等按单项采购，初期不另聘全职员工。</w:t>
            </w:r>
          </w:p>
        </w:tc>
      </w:tr>
    </w:tbl>
    <w:p/>
    <w:p>
      <w:pPr>
        <w:spacing w:after="200" w:before="320" w:lineRule="auto" w:line="317"/>
        <w:jc w:val="left"/>
        <w:pBdr>
          <w:bottom w:val="single" w:sz="12" w:space="3" w:color="B88A2E"/>
        </w:pBdr>
      </w:pPr>
      <w:r>
        <w:rPr>
          <w:rFonts w:ascii="微软雅黑" w:hAnsi="微软雅黑" w:eastAsia="宋体" w:cs="微软雅黑"/>
          <w:b/>
          <w:i w:val="0"/>
          <w:color w:val="1A3A5C"/>
          <w:sz w:val="32"/>
        </w:rPr>
        <w:t>五、商业模式与预计营收</w:t>
      </w:r>
    </w:p>
    <w:p>
      <w:pPr>
        <w:spacing w:after="160" w:before="0" w:lineRule="auto" w:line="317"/>
        <w:ind w:firstLine="420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申请表盈利模式勾选「服务收费」「技术开发」。服务收费对应政策或产业研究交付及陪跑；技术开发对应政策研究智能体的场景定制。配套活动与材料服务按场次计，不作为收入主力。</w:t>
      </w:r>
    </w:p>
    <w:p>
      <w:pPr>
        <w:spacing w:after="160" w:before="0" w:lineRule="auto" w:line="317"/>
        <w:ind w:firstLine="420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下表报价、交付周期和项目数量均为测算假设，不是已成交合同。已实现营业收入为0，不是未提供收入数据；尚无对外付费合同，不是隐去客户名称。尚未融资，自有资金起步。</w:t>
      </w:r>
    </w:p>
    <w:p>
      <w:pPr>
        <w:spacing w:after="160" w:before="0" w:lineRule="auto" w:line="317"/>
        <w:ind w:firstLine="420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基准假设：4项研究（按1.5万元计）、2套定制（按5万元计）、1个季度陪跑（按2万元计），预计营业收入约18万元。保守假设约9–14万元，较好假设约28–40万元。三项均为分情景测算，不把情景之间的数字再次加总。预计首个完整经营年度营业收入低于50万元，实际取决于产品验证与项目签约情况。</w:t>
      </w:r>
    </w:p>
    <w:p>
      <w:pPr>
        <w:spacing w:after="160" w:before="0" w:lineRule="auto" w:line="317"/>
        <w:ind w:firstLine="420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成本包括模型调用、知识库与流程的持续维护、必要技术协作、法律记账，以及创始人全年时间投入对应的基本报酬（拟由自有资金安排15–25万元）。免租、代账、Tokens等为拟申请，以实际获批为准；未获批按自有资金启动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309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口径</w:t>
            </w:r>
          </w:p>
        </w:tc>
        <w:tc>
          <w:tcPr>
            <w:tcW w:type="dxa" w:w="309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填写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已实现营业收入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事实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0（尚未对外经营，不是未提供收入数据）</w:t>
            </w:r>
          </w:p>
        </w:tc>
      </w:tr>
      <w:tr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对外付费合同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事实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无（不是隐去客户名称）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已获股权融资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事实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无，自有资金起步</w:t>
            </w:r>
          </w:p>
        </w:tc>
      </w:tr>
      <w:tr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预计首个完整经营年度营业收入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预测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低于50万元，取决于验证与签约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申请表选项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对应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50万以下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860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产品</w:t>
            </w:r>
          </w:p>
        </w:tc>
        <w:tc>
          <w:tcPr>
            <w:tcW w:type="dxa" w:w="1860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服务范围</w:t>
            </w:r>
          </w:p>
        </w:tc>
        <w:tc>
          <w:tcPr>
            <w:tcW w:type="dxa" w:w="1860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交付周期</w:t>
            </w:r>
          </w:p>
        </w:tc>
        <w:tc>
          <w:tcPr>
            <w:tcW w:type="dxa" w:w="1860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计划价（测算）</w:t>
            </w:r>
          </w:p>
        </w:tc>
        <w:tc>
          <w:tcPr>
            <w:tcW w:type="dxa" w:w="1860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基准年数量假设</w:t>
            </w:r>
          </w:p>
        </w:tc>
      </w:tr>
      <w:tr>
        <w:tc>
          <w:tcPr>
            <w:tcW w:type="dxa" w:w="1860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政策或产业研究交付</w:t>
            </w:r>
          </w:p>
        </w:tc>
        <w:tc>
          <w:tcPr>
            <w:tcW w:type="dxa" w:w="1860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一主题清单、适用说明、待确认事项</w:t>
            </w:r>
          </w:p>
        </w:tc>
        <w:tc>
          <w:tcPr>
            <w:tcW w:type="dxa" w:w="1860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5–10个工作日</w:t>
            </w:r>
          </w:p>
        </w:tc>
        <w:tc>
          <w:tcPr>
            <w:tcW w:type="dxa" w:w="1860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0.8–3万元/项</w:t>
            </w:r>
          </w:p>
        </w:tc>
        <w:tc>
          <w:tcPr>
            <w:tcW w:type="dxa" w:w="1860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4项</w:t>
            </w:r>
          </w:p>
        </w:tc>
      </w:tr>
      <w:tr>
        <w:tc>
          <w:tcPr>
            <w:tcW w:type="dxa" w:w="1860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政策研究智能体定制</w:t>
            </w:r>
          </w:p>
        </w:tc>
        <w:tc>
          <w:tcPr>
            <w:tcW w:type="dxa" w:w="1860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场景工作流、使用说明、一个月陪跑</w:t>
            </w:r>
          </w:p>
        </w:tc>
        <w:tc>
          <w:tcPr>
            <w:tcW w:type="dxa" w:w="1860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3–6周</w:t>
            </w:r>
          </w:p>
        </w:tc>
        <w:tc>
          <w:tcPr>
            <w:tcW w:type="dxa" w:w="1860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3–8万元/套</w:t>
            </w:r>
          </w:p>
        </w:tc>
        <w:tc>
          <w:tcPr>
            <w:tcW w:type="dxa" w:w="1860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2套</w:t>
            </w:r>
          </w:p>
        </w:tc>
      </w:tr>
      <w:tr>
        <w:tc>
          <w:tcPr>
            <w:tcW w:type="dxa" w:w="1860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季度陪跑</w:t>
            </w:r>
          </w:p>
        </w:tc>
        <w:tc>
          <w:tcPr>
            <w:tcW w:type="dxa" w:w="1860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政策库更新、复核与答疑</w:t>
            </w:r>
          </w:p>
        </w:tc>
        <w:tc>
          <w:tcPr>
            <w:tcW w:type="dxa" w:w="1860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按季</w:t>
            </w:r>
          </w:p>
        </w:tc>
        <w:tc>
          <w:tcPr>
            <w:tcW w:type="dxa" w:w="1860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1.5–4万元/季</w:t>
            </w:r>
          </w:p>
        </w:tc>
        <w:tc>
          <w:tcPr>
            <w:tcW w:type="dxa" w:w="1860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1季</w:t>
            </w:r>
          </w:p>
        </w:tc>
      </w:tr>
      <w:tr>
        <w:tc>
          <w:tcPr>
            <w:tcW w:type="dxa" w:w="1860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配套活动／材料</w:t>
            </w:r>
          </w:p>
        </w:tc>
        <w:tc>
          <w:tcPr>
            <w:tcW w:type="dxa" w:w="1860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经授权的研讨材料或纪要整理</w:t>
            </w:r>
          </w:p>
        </w:tc>
        <w:tc>
          <w:tcPr>
            <w:tcW w:type="dxa" w:w="1860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按场次</w:t>
            </w:r>
          </w:p>
        </w:tc>
        <w:tc>
          <w:tcPr>
            <w:tcW w:type="dxa" w:w="1860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0.5–2万元/场</w:t>
            </w:r>
          </w:p>
        </w:tc>
        <w:tc>
          <w:tcPr>
            <w:tcW w:type="dxa" w:w="1860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0–1场，不作为主力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测算情景</w:t>
            </w:r>
          </w:p>
        </w:tc>
        <w:tc>
          <w:tcPr>
            <w:tcW w:type="dxa" w:w="309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数量假设（均为测算，不跨情景加总）</w:t>
            </w:r>
          </w:p>
        </w:tc>
        <w:tc>
          <w:tcPr>
            <w:tcW w:type="dxa" w:w="309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预计营业收入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保守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1套定制 + 3项研究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约9–14万元</w:t>
            </w:r>
          </w:p>
        </w:tc>
      </w:tr>
      <w:tr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基准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2套定制 + 4项研究 + 1个陪跑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约18–22万元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较好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3套定制 + 5项研究 + 2个陪跑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约28–40万元</w:t>
            </w:r>
          </w:p>
        </w:tc>
      </w:tr>
      <w:tr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申请表档位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对应「50万以下」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预计低于50万元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成本项</w:t>
            </w:r>
          </w:p>
        </w:tc>
        <w:tc>
          <w:tcPr>
            <w:tcW w:type="dxa" w:w="309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预计</w:t>
            </w:r>
          </w:p>
        </w:tc>
        <w:tc>
          <w:tcPr>
            <w:tcW w:type="dxa" w:w="309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创始人时间投入／基本报酬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15–25万元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自有资金安排，计入项目成本</w:t>
            </w:r>
          </w:p>
        </w:tc>
      </w:tr>
      <w:tr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模型与检索调用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2–6万元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Tokens未获批时按此计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知识库与持续维护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0.5–2万元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政策更新、测试回归</w:t>
            </w:r>
          </w:p>
        </w:tc>
      </w:tr>
      <w:tr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技术协作外协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1–3万元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向量库、界面等按任务采购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法律／记账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0.5–1.5万元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免费代账未获批时</w:t>
            </w:r>
          </w:p>
        </w:tc>
      </w:tr>
      <w:tr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工具与基础开支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0.5–1万元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软件、域名等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免租／代账／Tokens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拟申请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以实际获批为准，未获批不影响启动</w:t>
            </w:r>
          </w:p>
        </w:tc>
      </w:tr>
    </w:tbl>
    <w:p/>
    <w:p>
      <w:pPr>
        <w:spacing w:after="200" w:before="320" w:lineRule="auto" w:line="317"/>
        <w:jc w:val="left"/>
        <w:pBdr>
          <w:bottom w:val="single" w:sz="12" w:space="3" w:color="B88A2E"/>
        </w:pBdr>
      </w:pPr>
      <w:r>
        <w:rPr>
          <w:rFonts w:ascii="微软雅黑" w:hAnsi="微软雅黑" w:eastAsia="宋体" w:cs="微软雅黑"/>
          <w:b/>
          <w:i w:val="0"/>
          <w:color w:val="1A3A5C"/>
          <w:sz w:val="32"/>
        </w:rPr>
        <w:t>六、团队与创始人</w:t>
      </w:r>
    </w:p>
    <w:p>
      <w:pPr>
        <w:spacing w:after="160" w:before="0" w:lineRule="auto" w:line="317"/>
        <w:ind w:firstLine="420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1名创始人负责运营，初期不另聘全职员工。创始人为胡继刚。智能体按检索与引用、结构化抽取、起草分工，均不是劳动合同员工，输出须经创始人复核。</w:t>
      </w:r>
    </w:p>
    <w:p>
      <w:pPr>
        <w:spacing w:after="160" w:before="0" w:lineRule="auto" w:line="317"/>
        <w:ind w:firstLine="420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教育：中国海洋大学土木工程学士，复旦大学工商管理硕士。专业技术职称：副教授级高级工程师（证书原文）、会计师。2017–2021年任万科上海区域江浙事业部投资副总经理，从事投资拓展、产业运营与城市更新前期研判；2021年起任复旦大学住房政策研究中心秘书长、杨浦区科技企业联合会执行会长。这些经历用于定义政策研究、产业研究和科技企业服务场景，公开活动见个人简介所附链接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309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身份</w:t>
            </w:r>
          </w:p>
        </w:tc>
        <w:tc>
          <w:tcPr>
            <w:tcW w:type="dxa" w:w="309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胡继刚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1名创始人，负责运营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产品定义、知识库、编排、复核、经营</w:t>
            </w:r>
          </w:p>
        </w:tc>
      </w:tr>
      <w:tr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检索与引用 Agent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智能体，非员工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RAG检索并附原文片段或文号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结构化 Agent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智能体，非员工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抽取有效期、适用条件、待确认项</w:t>
            </w:r>
          </w:p>
        </w:tc>
      </w:tr>
      <w:tr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起草 Agent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智能体，非员工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政策清单与说明草稿</w:t>
            </w:r>
          </w:p>
        </w:tc>
      </w:tr>
    </w:tbl>
    <w:p/>
    <w:p>
      <w:pPr>
        <w:spacing w:after="200" w:before="320" w:lineRule="auto" w:line="317"/>
        <w:jc w:val="left"/>
        <w:pBdr>
          <w:bottom w:val="single" w:sz="12" w:space="3" w:color="B88A2E"/>
        </w:pBdr>
      </w:pPr>
      <w:r>
        <w:rPr>
          <w:rFonts w:ascii="微软雅黑" w:hAnsi="微软雅黑" w:eastAsia="宋体" w:cs="微软雅黑"/>
          <w:b/>
          <w:i w:val="0"/>
          <w:color w:val="1A3A5C"/>
          <w:sz w:val="32"/>
        </w:rPr>
        <w:t>七、入驻需求、社区贡献与近90天安排</w:t>
      </w:r>
    </w:p>
    <w:p>
      <w:pPr>
        <w:spacing w:after="160" w:before="0" w:lineRule="auto" w:line="317"/>
        <w:ind w:firstLine="420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拟申请：1个固定工位、工商注册地址、OPC开办辅导、代理记账、合火人工具链和Tokens。上述均为申请事项，以实际获批为准。未获批准时，仍以自有资金支付模型调用、技术协作和记账，在现有条件下继续产品化，取得营业执照后对外签约。</w:t>
      </w:r>
    </w:p>
    <w:p>
      <w:pPr>
        <w:spacing w:after="160" w:before="0" w:lineRule="auto" w:line="317"/>
        <w:ind w:firstLine="420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拟为社区提供的贡献（均为计划，不是已落实义务）：向社区内项目提供政策研究工具试用；参与产业需求交流；在获得授权前提下共建政策与案例材料。</w:t>
      </w:r>
    </w:p>
    <w:p>
      <w:pPr>
        <w:spacing w:after="160" w:before="0" w:lineRule="auto" w:line="317"/>
        <w:ind w:firstLine="420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入驻后30日：推进一人主体设立，继续政策入库和检索引用流程。入驻后90日：形成可当面演示的「输入企业情况与主题—输出政策清单」；完成报价模板；联系1–2个真实场景试用。试用不等于已实现收入。若原型慢于90天，则继续只做首期政策研究智能体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309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性质</w:t>
            </w:r>
          </w:p>
        </w:tc>
        <w:tc>
          <w:tcPr>
            <w:tcW w:type="dxa" w:w="309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固定工位1个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拟申请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以实际获批为准</w:t>
            </w:r>
          </w:p>
        </w:tc>
      </w:tr>
      <w:tr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工商注册地址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拟申请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入驻后依法设立新主体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开办辅导与代账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拟申请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未获批则自费办理</w:t>
            </w:r>
          </w:p>
        </w:tc>
      </w:tr>
      <w:tr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工具链与Tokens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拟申请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未获批则用自有接口继续开发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政策研究工具试用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拟为社区提供的贡献（计划）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向社区内项目开放试用</w:t>
            </w:r>
          </w:p>
        </w:tc>
      </w:tr>
      <w:tr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产业需求交流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拟为社区提供的贡献（计划）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参与或协助场景交流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经授权的政策与案例共建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拟为社区提供的贡献（计划）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须事先获得材料授权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宋体" w:cs="微软雅黑"/>
        <w:b w:val="0"/>
        <w:color w:val="555555"/>
        <w:sz w:val="16"/>
      </w:rPr>
      <w:t xml:space="preserve">复兴岛星火社区入驻申请材料  ·  仅供官方审核使用  ·  第 </w:t>
    </w:r>
    <w:fldChar w:fldCharType="begin"/>
    <w:instrText xml:space="preserve"> PAGE </w:instrText>
    <w:fldChar w:fldCharType="end"/>
    <w:r>
      <w:rPr>
        <w:rFonts w:ascii="微软雅黑" w:hAnsi="微软雅黑" w:eastAsia="宋体" w:cs="微软雅黑"/>
        <w:b w:val="0"/>
        <w:color w:val="555555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宋体" w:cs="微软雅黑"/>
        <w:b w:val="0"/>
        <w:color w:val="B88A2E"/>
        <w:sz w:val="18"/>
      </w:rPr>
      <w:t>星火社区申请  ·  正式稿合订本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