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Rule="auto" w:line="317"/>
        <w:jc w:val="center"/>
      </w:pPr>
      <w:r>
        <w:rPr>
          <w:rFonts w:ascii="微软雅黑" w:hAnsi="微软雅黑" w:eastAsia="宋体" w:cs="微软雅黑"/>
          <w:b/>
          <w:i w:val="0"/>
          <w:color w:val="B88A2E"/>
          <w:sz w:val="22"/>
        </w:rPr>
        <w:t>复兴岛星火社区  ·  OPC入驻申请</w:t>
      </w:r>
    </w:p>
    <w:p>
      <w:pPr>
        <w:spacing w:after="80" w:before="0" w:lineRule="auto" w:line="317"/>
        <w:jc w:val="center"/>
      </w:pPr>
      <w:r>
        <w:rPr>
          <w:rFonts w:ascii="微软雅黑" w:hAnsi="微软雅黑" w:eastAsia="宋体" w:cs="微软雅黑"/>
          <w:b/>
          <w:i w:val="0"/>
          <w:color w:val="1A3A5C"/>
          <w:sz w:val="40"/>
        </w:rPr>
        <w:t>个人简介</w:t>
      </w:r>
    </w:p>
    <w:p>
      <w:pPr>
        <w:spacing w:after="120" w:before="0" w:lineRule="auto" w:line="317"/>
        <w:jc w:val="center"/>
      </w:pPr>
      <w:r>
        <w:rPr>
          <w:rFonts w:ascii="微软雅黑" w:hAnsi="微软雅黑" w:eastAsia="宋体" w:cs="微软雅黑"/>
          <w:b/>
          <w:i w:val="0"/>
          <w:color w:val="1F6B5C"/>
          <w:sz w:val="26"/>
        </w:rPr>
        <w:t>胡继刚</w:t>
      </w:r>
    </w:p>
    <w:p>
      <w:pPr>
        <w:spacing w:after="200" w:before="0" w:lineRule="auto" w:line="317"/>
        <w:jc w:val="center"/>
      </w:pPr>
      <w:r>
        <w:rPr>
          <w:rFonts w:ascii="微软雅黑" w:hAnsi="微软雅黑" w:eastAsia="宋体" w:cs="微软雅黑"/>
          <w:b w:val="0"/>
          <w:i w:val="0"/>
          <w:color w:val="555555"/>
          <w:sz w:val="21"/>
        </w:rPr>
        <w:t>AI智能体开发  ·  产业智库型OPC  ·  首期：政策研究智能体</w:t>
      </w:r>
    </w:p>
    <w:p>
      <w:pPr>
        <w:spacing w:after="60" w:before="0" w:lineRule="auto" w:line="317"/>
        <w:jc w:val="center"/>
      </w:pPr>
      <w:r>
        <w:rPr>
          <w:rFonts w:ascii="微软雅黑" w:hAnsi="微软雅黑" w:eastAsia="宋体" w:cs="微软雅黑"/>
          <w:b w:val="0"/>
          <w:i w:val="0"/>
          <w:color w:val="222222"/>
          <w:sz w:val="22"/>
        </w:rPr>
        <w:t>复旦大学住房政策研究中心秘书长</w:t>
      </w:r>
    </w:p>
    <w:p>
      <w:pPr>
        <w:spacing w:after="60" w:before="0" w:lineRule="auto" w:line="317"/>
        <w:jc w:val="center"/>
      </w:pPr>
      <w:r>
        <w:rPr>
          <w:rFonts w:ascii="微软雅黑" w:hAnsi="微软雅黑" w:eastAsia="宋体" w:cs="微软雅黑"/>
          <w:b w:val="0"/>
          <w:i w:val="0"/>
          <w:color w:val="222222"/>
          <w:sz w:val="22"/>
        </w:rPr>
        <w:t>上海市杨浦区科技企业联合会执行会长</w:t>
      </w:r>
    </w:p>
    <w:p>
      <w:pPr>
        <w:spacing w:after="60" w:before="0" w:lineRule="auto" w:line="317"/>
        <w:jc w:val="center"/>
      </w:pPr>
      <w:r>
        <w:rPr>
          <w:rFonts w:ascii="微软雅黑" w:hAnsi="微软雅黑" w:eastAsia="宋体" w:cs="微软雅黑"/>
          <w:b w:val="0"/>
          <w:i w:val="0"/>
          <w:color w:val="222222"/>
          <w:sz w:val="22"/>
        </w:rPr>
        <w:t>AIDEN产业智能体创始人</w:t>
      </w:r>
    </w:p>
    <w:p>
      <w:pPr>
        <w:spacing w:after="80" w:before="160" w:lineRule="auto" w:line="317"/>
        <w:jc w:val="center"/>
      </w:pPr>
      <w:r>
        <w:rPr>
          <w:rFonts w:ascii="微软雅黑" w:hAnsi="微软雅黑" w:eastAsia="宋体" w:cs="微软雅黑"/>
          <w:b w:val="0"/>
          <w:i w:val="0"/>
          <w:color w:val="222222"/>
          <w:sz w:val="22"/>
        </w:rPr>
        <w:t>2026年9月6日  最终稿</w:t>
      </w:r>
    </w:p>
    <w:p>
      <w:pPr>
        <w:spacing w:after="200" w:before="320" w:lineRule="auto" w:line="317"/>
        <w:jc w:val="left"/>
        <w:pBdr>
          <w:bottom w:val="single" w:sz="12" w:space="3" w:color="B88A2E"/>
        </w:pBdr>
      </w:pPr>
      <w:r>
        <w:rPr>
          <w:rFonts w:ascii="微软雅黑" w:hAnsi="微软雅黑" w:eastAsia="宋体" w:cs="微软雅黑"/>
          <w:b/>
          <w:i w:val="0"/>
          <w:color w:val="1A3A5C"/>
          <w:sz w:val="32"/>
        </w:rPr>
        <w:t>一、简介</w:t>
      </w:r>
    </w:p>
    <w:p>
      <w:pPr>
        <w:spacing w:after="160" w:before="0" w:lineRule="auto" w:line="317"/>
        <w:ind w:firstLine="420"/>
        <w:jc w:val="both"/>
      </w:pPr>
      <w:r>
        <w:rPr>
          <w:rFonts w:ascii="微软雅黑" w:hAnsi="微软雅黑" w:eastAsia="宋体" w:cs="微软雅黑"/>
          <w:b w:val="0"/>
          <w:i w:val="0"/>
          <w:color w:val="222222"/>
          <w:sz w:val="22"/>
        </w:rPr>
        <w:t>胡继刚，男，汉族，1987年4月25日生，籍贯山东青岛。中国海洋大学土木工程专业毕业，获工学学士学位；复旦大学工商管理硕士（财务金融方向）。专业技术职称以证书原文为准：副教授级高级工程师；并具会计师资格。2011年6月参加工作。</w:t>
      </w:r>
    </w:p>
    <w:p>
      <w:pPr>
        <w:spacing w:after="160" w:before="0" w:lineRule="auto" w:line="317"/>
        <w:ind w:firstLine="420"/>
        <w:jc w:val="both"/>
      </w:pPr>
      <w:r>
        <w:rPr>
          <w:rFonts w:ascii="微软雅黑" w:hAnsi="微软雅黑" w:eastAsia="宋体" w:cs="微软雅黑"/>
          <w:b w:val="0"/>
          <w:i w:val="0"/>
          <w:color w:val="222222"/>
          <w:sz w:val="22"/>
        </w:rPr>
        <w:t>2011年至2021年，先后在中南建设、新城控股、万科从事战略企划、投资拓展与产业运营，参与项目研判和城市更新相关前期工作。2017年3月至2021年6月任万科企业集团上海区域江浙事业部投资副总经理。2021年6月起担任复旦大学住房政策研究中心秘书长，并任复旦MBA不动产资产管理协会秘书长。现任上海市杨浦区科技企业联合会执行会长。</w:t>
      </w:r>
    </w:p>
    <w:p>
      <w:pPr>
        <w:spacing w:after="160" w:before="0" w:lineRule="auto" w:line="317"/>
        <w:ind w:firstLine="420"/>
        <w:jc w:val="both"/>
      </w:pPr>
      <w:r>
        <w:rPr>
          <w:rFonts w:ascii="微软雅黑" w:hAnsi="微软雅黑" w:eastAsia="宋体" w:cs="微软雅黑"/>
          <w:b w:val="0"/>
          <w:i w:val="0"/>
          <w:color w:val="222222"/>
          <w:sz w:val="22"/>
        </w:rPr>
        <w:t>上述经历用于定义产品和验证需求：投资与产业运营经验帮助识别城市更新和项目现场的真实问题；住房政策研究工作训练政策文本拆解与口径把关，对应首期政策研究智能体；科技企业联合会工作提供科技企业服务与创新创业场景，对应企业画像和产业研究的后续验证。</w:t>
      </w:r>
    </w:p>
    <w:p>
      <w:pPr>
        <w:spacing w:after="160" w:before="0" w:lineRule="auto" w:line="317"/>
        <w:ind w:firstLine="420"/>
        <w:jc w:val="both"/>
      </w:pPr>
      <w:r>
        <w:rPr>
          <w:rFonts w:ascii="微软雅黑" w:hAnsi="微软雅黑" w:eastAsia="宋体" w:cs="微软雅黑"/>
          <w:b w:val="0"/>
          <w:i w:val="0"/>
          <w:color w:val="222222"/>
          <w:sz w:val="22"/>
        </w:rPr>
        <w:t>现发起AIDEN产业智能体，赛道为AI智能体开发，定位「AI+产业研究+科技企业服务」的产业智库型OPC，首期开发政策研究智能体。本项目由胡继刚个人发起，目前尚未在杨浦注册OPC公司，拟入驻后依法设立新主体。申请人参与的高校研究平台及社会组织为个人研究与工作背景，不作为本项目经营主体。</w:t>
      </w:r>
    </w:p>
    <w:p>
      <w:pPr>
        <w:spacing w:after="200" w:before="320" w:lineRule="auto" w:line="317"/>
        <w:jc w:val="left"/>
        <w:pBdr>
          <w:bottom w:val="single" w:sz="12" w:space="3" w:color="B88A2E"/>
        </w:pBdr>
      </w:pPr>
      <w:r>
        <w:rPr>
          <w:rFonts w:ascii="微软雅黑" w:hAnsi="微软雅黑" w:eastAsia="宋体" w:cs="微软雅黑"/>
          <w:b/>
          <w:i w:val="0"/>
          <w:color w:val="1A3A5C"/>
          <w:sz w:val="32"/>
        </w:rPr>
        <w:t>二、学习与工作简历</w:t>
      </w:r>
    </w:p>
    <w:p>
      <w:pPr>
        <w:spacing w:after="60" w:before="0" w:lineRule="auto" w:line="317"/>
        <w:jc w:val="left"/>
      </w:pPr>
      <w:r>
        <w:rPr>
          <w:rFonts w:ascii="微软雅黑" w:hAnsi="微软雅黑" w:eastAsia="宋体" w:cs="微软雅黑"/>
          <w:b w:val="0"/>
          <w:i w:val="0"/>
          <w:color w:val="222222"/>
          <w:sz w:val="22"/>
        </w:rPr>
        <w:t>2007.09–2011.07  中国海洋大学土木工程专业，工学学士</w:t>
      </w:r>
    </w:p>
    <w:p>
      <w:pPr>
        <w:spacing w:after="60" w:before="0" w:lineRule="auto" w:line="317"/>
        <w:jc w:val="left"/>
      </w:pPr>
      <w:r>
        <w:rPr>
          <w:rFonts w:ascii="微软雅黑" w:hAnsi="微软雅黑" w:eastAsia="宋体" w:cs="微软雅黑"/>
          <w:b w:val="0"/>
          <w:i w:val="0"/>
          <w:color w:val="222222"/>
          <w:sz w:val="22"/>
        </w:rPr>
        <w:t>2011.06–2012.10  中南建设集团／中南控股 战略企划管理主管</w:t>
      </w:r>
    </w:p>
    <w:p>
      <w:pPr>
        <w:spacing w:after="60" w:before="0" w:lineRule="auto" w:line="317"/>
        <w:jc w:val="left"/>
      </w:pPr>
      <w:r>
        <w:rPr>
          <w:rFonts w:ascii="微软雅黑" w:hAnsi="微软雅黑" w:eastAsia="宋体" w:cs="微软雅黑"/>
          <w:b w:val="0"/>
          <w:i w:val="0"/>
          <w:color w:val="222222"/>
          <w:sz w:val="22"/>
        </w:rPr>
        <w:t>2012.10–2015.10  中南建设集团新项目发展中心 投资拓展经理</w:t>
      </w:r>
    </w:p>
    <w:p>
      <w:pPr>
        <w:spacing w:after="60" w:before="0" w:lineRule="auto" w:line="317"/>
        <w:jc w:val="left"/>
      </w:pPr>
      <w:r>
        <w:rPr>
          <w:rFonts w:ascii="微软雅黑" w:hAnsi="微软雅黑" w:eastAsia="宋体" w:cs="微软雅黑"/>
          <w:b w:val="0"/>
          <w:i w:val="0"/>
          <w:color w:val="222222"/>
          <w:sz w:val="22"/>
        </w:rPr>
        <w:t>2015.11–2017.02  新城控股集团战略投资中心 投资拓展资深专业经理</w:t>
      </w:r>
    </w:p>
    <w:p>
      <w:pPr>
        <w:spacing w:after="60" w:before="0" w:lineRule="auto" w:line="317"/>
        <w:jc w:val="left"/>
      </w:pPr>
      <w:r>
        <w:rPr>
          <w:rFonts w:ascii="微软雅黑" w:hAnsi="微软雅黑" w:eastAsia="宋体" w:cs="微软雅黑"/>
          <w:b w:val="0"/>
          <w:i w:val="0"/>
          <w:color w:val="222222"/>
          <w:sz w:val="22"/>
        </w:rPr>
        <w:t>2017.03–2021.06  万科企业集团上海区域江浙事业部 投资副总经理</w:t>
      </w:r>
    </w:p>
    <w:p>
      <w:pPr>
        <w:spacing w:after="60" w:before="0" w:lineRule="auto" w:line="317"/>
        <w:jc w:val="left"/>
      </w:pPr>
      <w:r>
        <w:rPr>
          <w:rFonts w:ascii="微软雅黑" w:hAnsi="微软雅黑" w:eastAsia="宋体" w:cs="微软雅黑"/>
          <w:b w:val="0"/>
          <w:i w:val="0"/>
          <w:color w:val="222222"/>
          <w:sz w:val="22"/>
        </w:rPr>
        <w:t>2018.09–2021.06  复旦大学工商管理硕士（财务金融方向，在职）</w:t>
      </w:r>
    </w:p>
    <w:p>
      <w:pPr>
        <w:spacing w:after="60" w:before="0" w:lineRule="auto" w:line="317"/>
        <w:jc w:val="left"/>
      </w:pPr>
      <w:r>
        <w:rPr>
          <w:rFonts w:ascii="微软雅黑" w:hAnsi="微软雅黑" w:eastAsia="宋体" w:cs="微软雅黑"/>
          <w:b w:val="0"/>
          <w:i w:val="0"/>
          <w:color w:val="222222"/>
          <w:sz w:val="22"/>
        </w:rPr>
        <w:t>2021.06–至今      复旦大学住房政策研究中心 秘书长</w:t>
      </w:r>
    </w:p>
    <w:p>
      <w:pPr>
        <w:spacing w:after="200" w:before="320" w:lineRule="auto" w:line="317"/>
        <w:jc w:val="left"/>
        <w:pBdr>
          <w:bottom w:val="single" w:sz="12" w:space="3" w:color="B88A2E"/>
        </w:pBdr>
      </w:pPr>
      <w:r>
        <w:rPr>
          <w:rFonts w:ascii="微软雅黑" w:hAnsi="微软雅黑" w:eastAsia="宋体" w:cs="微软雅黑"/>
          <w:b/>
          <w:i w:val="0"/>
          <w:color w:val="1A3A5C"/>
          <w:sz w:val="32"/>
        </w:rPr>
        <w:t>三、专业技术职称与研究、社会职务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shd w:fill="1A3A5C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宋体" w:cs="微软雅黑"/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3099"/>
            <w:shd w:fill="1A3A5C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宋体" w:cs="微软雅黑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3099"/>
            <w:shd w:fill="1A3A5C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宋体" w:cs="微软雅黑"/>
                <w:b/>
                <w:color w:val="FFFFFF"/>
                <w:sz w:val="20"/>
              </w:rPr>
              <w:t>依据</w:t>
            </w:r>
          </w:p>
        </w:tc>
      </w:tr>
      <w:tr>
        <w:tc>
          <w:tcPr>
            <w:tcW w:type="dxa" w:w="309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专业技术职称</w:t>
            </w:r>
          </w:p>
        </w:tc>
        <w:tc>
          <w:tcPr>
            <w:tcW w:type="dxa" w:w="309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副教授级高级工程师</w:t>
            </w:r>
          </w:p>
        </w:tc>
        <w:tc>
          <w:tcPr>
            <w:tcW w:type="dxa" w:w="309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按证书原文；与研究平台职务分开填写</w:t>
            </w:r>
          </w:p>
        </w:tc>
      </w:tr>
      <w:tr>
        <w:tc>
          <w:tcPr>
            <w:tcW w:type="dxa" w:w="309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专业技术资格</w:t>
            </w:r>
          </w:p>
        </w:tc>
        <w:tc>
          <w:tcPr>
            <w:tcW w:type="dxa" w:w="309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会计师</w:t>
            </w:r>
          </w:p>
        </w:tc>
        <w:tc>
          <w:tcPr>
            <w:tcW w:type="dxa" w:w="309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按证书原文</w:t>
            </w:r>
          </w:p>
        </w:tc>
      </w:tr>
      <w:tr>
        <w:tc>
          <w:tcPr>
            <w:tcW w:type="dxa" w:w="309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研究平台职务</w:t>
            </w:r>
          </w:p>
        </w:tc>
        <w:tc>
          <w:tcPr>
            <w:tcW w:type="dxa" w:w="309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复旦大学住房政策研究中心秘书长</w:t>
            </w:r>
          </w:p>
        </w:tc>
        <w:tc>
          <w:tcPr>
            <w:tcW w:type="dxa" w:w="309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任职材料；非本项目经营主体</w:t>
            </w:r>
          </w:p>
        </w:tc>
      </w:tr>
      <w:tr>
        <w:tc>
          <w:tcPr>
            <w:tcW w:type="dxa" w:w="309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研究平台职务</w:t>
            </w:r>
          </w:p>
        </w:tc>
        <w:tc>
          <w:tcPr>
            <w:tcW w:type="dxa" w:w="309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复旦MBA不动产资产管理协会秘书长</w:t>
            </w:r>
          </w:p>
        </w:tc>
        <w:tc>
          <w:tcPr>
            <w:tcW w:type="dxa" w:w="309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任职材料；非本项目经营主体</w:t>
            </w:r>
          </w:p>
        </w:tc>
      </w:tr>
      <w:tr>
        <w:tc>
          <w:tcPr>
            <w:tcW w:type="dxa" w:w="309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社会组织职务</w:t>
            </w:r>
          </w:p>
        </w:tc>
        <w:tc>
          <w:tcPr>
            <w:tcW w:type="dxa" w:w="309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上海市杨浦区科技企业联合会执行会长</w:t>
            </w:r>
          </w:p>
        </w:tc>
        <w:tc>
          <w:tcPr>
            <w:tcW w:type="dxa" w:w="309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任职材料；非本项目经营主体</w:t>
            </w:r>
          </w:p>
        </w:tc>
      </w:tr>
    </w:tbl>
    <w:p/>
    <w:p>
      <w:pPr>
        <w:spacing w:after="200" w:before="320" w:lineRule="auto" w:line="317"/>
        <w:jc w:val="left"/>
        <w:pBdr>
          <w:bottom w:val="single" w:sz="12" w:space="3" w:color="B88A2E"/>
        </w:pBdr>
      </w:pPr>
      <w:r>
        <w:rPr>
          <w:rFonts w:ascii="微软雅黑" w:hAnsi="微软雅黑" w:eastAsia="宋体" w:cs="微软雅黑"/>
          <w:b/>
          <w:i w:val="0"/>
          <w:color w:val="1A3A5C"/>
          <w:sz w:val="32"/>
        </w:rPr>
        <w:t>四、与项目相关的公开证明</w:t>
      </w:r>
    </w:p>
    <w:p>
      <w:pPr>
        <w:pStyle w:val="ListBullet"/>
        <w:spacing w:after="80" w:line="300" w:lineRule="auto"/>
      </w:pPr>
      <w:r>
        <w:rPr>
          <w:rFonts w:ascii="微软雅黑" w:hAnsi="微软雅黑" w:eastAsia="宋体" w:cs="微软雅黑"/>
          <w:b w:val="0"/>
          <w:color w:val="222222"/>
          <w:sz w:val="22"/>
        </w:rPr>
        <w:t>2026年5月  主持「2026人工智能商业化落地与硬核投资破局峰会」圆桌对话，对应科技企业服务与创新创业研究。出处：https://www.cnr.cn/shanghai/tt/20260526/t20260526_527636297.shtml</w:t>
      </w:r>
    </w:p>
    <w:p>
      <w:pPr>
        <w:pStyle w:val="ListBullet"/>
        <w:spacing w:after="80" w:line="300" w:lineRule="auto"/>
      </w:pPr>
      <w:r>
        <w:rPr>
          <w:rFonts w:ascii="微软雅黑" w:hAnsi="微软雅黑" w:eastAsia="宋体" w:cs="微软雅黑"/>
          <w:b w:val="0"/>
          <w:color w:val="222222"/>
          <w:sz w:val="22"/>
        </w:rPr>
        <w:t>2026年3月  参加杨浦「北欧创新国际会客厅」揭牌交流，对应科技企业国际化与产业服务场景。出处：https://www.shyp.gov.cn/shypq/xwzx-bmdt/20260310/501286.html</w:t>
      </w:r>
    </w:p>
    <w:p>
      <w:pPr>
        <w:spacing w:after="160" w:before="0" w:lineRule="auto" w:line="317"/>
        <w:jc w:val="both"/>
      </w:pPr>
      <w:r>
        <w:rPr>
          <w:rFonts w:ascii="微软雅黑" w:hAnsi="微软雅黑" w:eastAsia="宋体" w:cs="微软雅黑"/>
          <w:b w:val="0"/>
          <w:i w:val="0"/>
          <w:color w:val="222222"/>
          <w:sz w:val="21"/>
        </w:rPr>
        <w:t>可展示成果目前为政策研究输出样例（字段设计与三条示意记录），见业务计划书「首期产品」一节。该样例说明产品形态，不是已上线系统截图；研究材料由本人使用AI辅助完成，正在产品化。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宋体" w:cs="微软雅黑"/>
        <w:b w:val="0"/>
        <w:color w:val="555555"/>
        <w:sz w:val="16"/>
      </w:rPr>
      <w:t xml:space="preserve">复兴岛星火社区入驻申请材料  ·  仅供官方审核使用  ·  第 </w:t>
    </w:r>
    <w:fldChar w:fldCharType="begin"/>
    <w:instrText xml:space="preserve"> PAGE </w:instrText>
    <w:fldChar w:fldCharType="end"/>
    <w:r>
      <w:rPr>
        <w:rFonts w:ascii="微软雅黑" w:hAnsi="微软雅黑" w:eastAsia="宋体" w:cs="微软雅黑"/>
        <w:b w:val="0"/>
        <w:color w:val="555555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微软雅黑" w:hAnsi="微软雅黑" w:eastAsia="宋体" w:cs="微软雅黑"/>
        <w:b w:val="0"/>
        <w:color w:val="B88A2E"/>
        <w:sz w:val="18"/>
      </w:rPr>
      <w:t>星火社区申请  ·  个人简介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