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60" w:lineRule="auto"/>
        <w:jc w:val="center"/>
      </w:pPr>
      <w:r>
        <w:rPr>
          <w:rFonts w:ascii="黑体" w:hAnsi="黑体" w:eastAsia="黑体"/>
          <w:b/>
          <w:sz w:val="22"/>
        </w:rPr>
        <w:t>提交对象</w:t>
      </w:r>
    </w:p>
    <w:p>
      <w:pPr>
        <w:spacing w:after="200" w:before="0" w:line="360" w:lineRule="auto"/>
        <w:jc w:val="center"/>
      </w:pPr>
      <w:r>
        <w:rPr>
          <w:rFonts w:ascii="黑体" w:hAnsi="黑体" w:eastAsia="黑体"/>
          <w:b/>
          <w:sz w:val="32"/>
        </w:rPr>
        <w:t>上海同浦汇科技有限公司</w:t>
      </w:r>
    </w:p>
    <w:p>
      <w:pPr>
        <w:spacing w:after="80" w:before="0" w:line="360" w:lineRule="auto"/>
        <w:jc w:val="center"/>
      </w:pPr>
      <w:r>
        <w:rPr>
          <w:rFonts w:ascii="黑体" w:hAnsi="黑体" w:eastAsia="黑体"/>
          <w:b/>
          <w:sz w:val="36"/>
        </w:rPr>
        <w:t>创智汇30场活动与科技企业服务中心筹备</w:t>
      </w:r>
    </w:p>
    <w:p>
      <w:pPr>
        <w:spacing w:after="200" w:before="0" w:line="360" w:lineRule="auto"/>
        <w:jc w:val="center"/>
      </w:pPr>
      <w:r>
        <w:rPr>
          <w:rFonts w:ascii="黑体" w:hAnsi="黑体" w:eastAsia="黑体"/>
          <w:b/>
          <w:sz w:val="32"/>
        </w:rPr>
        <w:t>业务承接合作策划案（复核定稿）</w:t>
      </w:r>
    </w:p>
    <w:p>
      <w:pPr>
        <w:spacing w:after="4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承接范围：30场可核验活动  ＋  科技企业服务中心挂牌筹备</w:t>
      </w:r>
    </w:p>
    <w:p>
      <w:pPr>
        <w:spacing w:after="4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新赛道：智能建造 × 建筑产业出海</w:t>
      </w:r>
    </w:p>
    <w:p>
      <w:pPr>
        <w:spacing w:after="16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政策包装：现代服务业 + 新一代信息技术（科技赋能建筑）</w:t>
      </w:r>
    </w:p>
    <w:p>
      <w:pPr>
        <w:spacing w:after="4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提出方：上海市杨浦区科技企业服务中心</w:t>
      </w:r>
    </w:p>
    <w:p>
      <w:pPr>
        <w:spacing w:after="4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联合：上海市杨浦区科技企业联合会</w:t>
      </w:r>
    </w:p>
    <w:p>
      <w:pPr>
        <w:spacing w:after="4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学术支持：复旦大学住房政策研究中心</w:t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2026年9月1日　｜　执行周期 2026.08—2027.07</w:t>
      </w:r>
    </w:p>
    <w:p>
      <w:pPr>
        <w:spacing w:after="320" w:before="0" w:line="360" w:lineRule="auto"/>
        <w:jc w:val="center"/>
      </w:pPr>
      <w:r>
        <w:rPr>
          <w:rFonts w:ascii="宋体" w:hAnsi="宋体" w:eastAsia="宋体"/>
          <w:b w:val="0"/>
          <w:sz w:val="20"/>
        </w:rPr>
        <w:t>机密 · 仅供同浦汇合作沟通，不作为对园区/投资方的承诺函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致同浦汇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2026年8月31日关于创智汇赛道调整的交流已把方向说清楚：园区不再以原AI+IP内容线作为主叙事，而是转向智能建造与建筑产业出海，并用现代服务业、新一代信息技术的口径完成政策包装。合同口径已经调整，运营成本已经发生，审核方工程部门需要尽快看到一份可执行、可核验、可过审的答卷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据此，上海市杨浦区科技企业服务中心提出：承接同浦汇在本项目上的两项具体业务——一是把30场活动按新赛道办完；二是把科技企业服务中心筹备到可挂牌、可申报。同浦汇继续做创智汇面前的产业招服入口和客户关系主人，不把园区接口让出去。本文件为复核定稿版，便于内部对齐后转交审核材料，并作为签署《业务承接合作协议》的附件说明；不作为对园区或投资方的单方承诺函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一、昨日共识：为什么现在要承接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以下内容按8月31日交流整理，作为双方共同事实，不另做行业预测承诺。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1. 创智汇上周已确定更换赛道：由原AI+IP内容线，转向与建筑设计、智能建造结合的方向，并与同济设计资源、中建相关方主业相匹配。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2. 新方向按「现代服务业 + 新一代信息技术」包装，科技赋能建筑，不与高新/载体政策申报发生本质冲突。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3. 核心目标不是把地产施工企业招来租办公室，而是搭建「建筑产业出海」集群。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4. 会上研判：传统建筑施工景气与回款能力明显弱于人工智能赛道，若仍按招租逻辑推进，后续难以说服审核方。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5. 对外口径须谨慎：业主写杨浦科创集团；不宜简单用「中建」名义对接政府资源。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6. 复旦大学住房政策研究中心可提供行业数据、活动组织、专家网络与海外专题经验，不替代同浦汇的园区接口地位。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7. 出海优先城市化率较低的一带一路、东南亚、中亚、非洲、中东市场；产品抓手为绿色低碳 + 施工机器人 + 模块化建筑。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8. 政策路径：引导入驻企业把经营范围写入智能施工、绿色节能，自行完成高新技术企业认定。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9. 空间抓手：展厅约500㎡做建筑出海科技与模块化产品展示。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10. 驻沪领馆资源按目标国匹配；领事到访不纳入30场年包。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11. 合同口径已调整、运营成本已经发生；需尽快形成可交给审核方工程部门的初步方案。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一句话：旧定位「AI+IP / 数字内容无界共创港」让位给新定位「智能建造 × 建筑产业出海」。30场年包的商务结构沿用，主题线与服中心筹备按新赛道重写。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二、承接范围与不承接边界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2.1 承接什么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工作包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具体内容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30场活动全案执行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策划、档期、邀约协同、现场执行、月报、可核验交付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科技企业服务中心筹备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挂牌路径、制度与人员、载体认定材料、创新券机构申请、高新辅导SOP、展陈与研学大纲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新赛道叙事与审核材料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把昨日共识写成可过审的一页纸 + 90天工作包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学术与白皮书协同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对接复旦大学住房政策研究中心，开题、发布节奏与授牌预热</w:t>
            </w:r>
          </w:p>
        </w:tc>
      </w:tr>
    </w:tbl>
    <w:p/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2.2 明确不承接、不承诺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不取代同浦汇作为园区产业招服入口与客户关系主人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不做租金去化对赌，也不做「必须租出去」的必要性条款（办公约3.3元/㎡/天高于周边）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不承诺必带外资企业、不承诺领事必到场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不把出海专题、领事到访、挂牌仪式装进30万元年包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不向企业承诺高新/载体/补贴必然获批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园区销售促成仍由园区负责；我方与同浦汇负责带到场、建群、回访摘要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三、角色分工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主体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在本承接方案中的责任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同浦汇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园区接口、在谈客户、带客名单协同、建群与回访台账、向园区转交促成线索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服中心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30场策划与现场执行、服中心挂牌筹备、政策申报材料、月报验收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科技企业联合会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联合协办、行业组织协同、活动背书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复旦住房政策研究中心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学术支持、白皮书、专家与行业数据、海外专题研究（按场次确认）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创智汇 / 园区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场地物业、导视、样板间、在谈名单、销售促成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杨浦科创集团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空间业主；重大口径与场地条件确认</w:t>
            </w:r>
          </w:p>
        </w:tc>
      </w:tr>
    </w:tbl>
    <w:p/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同浦汇联系人：高辰辰　15339617481　产业招服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空间业主：杨浦科创集团（杨浦国资）。审核相关方：中建相关工程/投资审核方（需过审，不写入合同业主栏）。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四、工作包A：30场活动全案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4.1 锁版商务口径（对园区）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口径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30场 / 30万元（固定执行费）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周期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2026.08—2027.07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人数 / 负责人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每场≤30人（可核验）；负责人占比≤30%，不做100%承兑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触达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全年约600+人次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付款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签约后7日内50%启动款；Q3、Q4、次年Q1、次年Q2各10%；年终收官10%尾款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季度场次完成度 + 月报验收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门票赞助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可冲抵成本，不替代打包价</w:t>
            </w:r>
          </w:p>
        </w:tc>
      </w:tr>
    </w:tbl>
    <w:p/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4.2 新赛道下的六条线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线条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场次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时间窗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 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8月点火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赛道切换、渠道、金融、政府、进博承接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 A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全年能力线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机器人、模块化、零碳、测绘、黑客松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政策 B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申报入口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高新、创新券、YOUNG立方、冲刺营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出海准备 C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国内可交付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案例、高校、华东华南、产业地图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 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空间产品化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500㎡展厅、白皮书、研学、联展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收官 F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可核验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Demo Day、圆桌、年终验收</w:t>
            </w:r>
          </w:p>
        </w:tc>
      </w:tr>
    </w:tbl>
    <w:p/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4.3 逐场排期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月份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线条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活动名称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本场作用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2026.08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赛道切换说明会 · 园区开放日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把新方向讲清楚，完成主业匹配叙事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2026.08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中介渠道推广日（建造 / 园区）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点火带客，不谈租金对赌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2026.08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五大行与资管对接日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面对施工企业支付能力弱的现实，先找金融出口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2026.08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政府部门与载体沟通日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确认「科技赋能建筑」政策包装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2026.08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进博绿色建造成果承接交流日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借势施工机器人 + 绿色低碳，不替代年包出海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2026.09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施工机器人与智能装备一日营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3F能力线：装备可见、可体验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2026.09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出海准备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东南亚模块化建筑案例沙龙（国内场）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讲案例与供应链，不含领事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2026.09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政策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智能建造企业高新认定路径沙龙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经营范围写入智能施工 / 绿色节能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2026.10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模块化 / 装配式建筑工作坊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可出口产品与就地建厂逻辑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2026.10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500㎡出海展厅共创工作坊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把展陈从概念落到平面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2026.10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政策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创新券与数字化设计工具沙龙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服中心作为服务机构的入口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2026.11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绿色低碳与零碳工地实务营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对接进博观察与越秀研学思路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2026.11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政策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YOUNG立方 · 智能建造政策沙龙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活动经费申报的合规场次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2026.12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智能测绘与数字设计对接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同济设计资源协同，不替代复旦住房政策线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2026.12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行业白皮书开题沙龙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联合复旦形成可传播文本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2026.12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收官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智能建造年度 Demo Day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年度成果可核验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建筑机器人场景体验日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3F体验与招商转化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出海准备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高校成果转化 · 智能建造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复旦住房政策 + 同济设计双校协同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政策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高企认定冲刺（智能施工专场）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企业自行申报，服中心辅导不承诺获批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零碳体验馆研学方案工作坊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中小学生研学运营模型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A6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建造科技黑客松（OPC超级个体）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保留科技社群带流，服务于新赛道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出海准备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华东智能设计产业集群对接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华东产能与设计优势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收官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通往海外订单季度圆桌（国内）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订单逻辑研讨，领事另计价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出海准备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华南制造基地联动对接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华东设计 × 华南制造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新材料与绿色建材联展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5F展陈轮换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出海准备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专精特新 · 建造科技路演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申报奖项节奏的企业侧入口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展厅内容迭代与市集体验日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人气场，≤30人核验口径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C6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2027.06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出海准备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一带一路目标国产业地图沙龙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城市化率&lt;50%国家研究场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A7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2027.06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智能建造与智能家居交叉应用营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产品出口与场景验证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2027.07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收官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年度收官 · 下一年度预热圆桌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验收30场 + 预热下一年度</w:t>
            </w:r>
          </w:p>
        </w:tc>
      </w:tr>
    </w:tbl>
    <w:p/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4.4 单场标准与转化闭环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执行节奏：T-14策划邀约 → T-7确认名单 → T-1场地物料 → D日执行 → T+1~7建群/回访摘要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转化闭环：到场 → 建群 → 看场 → 同浦汇回访 → 园区销售促成 → 复盘回流下一场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交付物：方案、签到、现场执行、月报；回访只交摘要知会，不要求园区逐户回访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4.5 不进年包的加购项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计价原则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出海专题执行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境外对接、订单撮合、海外考察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10–20万/场次或专项，一事一议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领事到访接待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驻沪领馆匹配目标国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按场次另计价，与挂牌分开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挂牌仪式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服中心 / 复旦战略合作授牌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3万/个起，挂牌≠领事活动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战略签约大会升级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媒体、会场、嘉宾规格升级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在预热沙龙之外另报价</w:t>
            </w:r>
          </w:p>
        </w:tc>
      </w:tr>
    </w:tbl>
    <w:p/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五、工作包B：科技企业服务中心筹备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90天内，把「上海市杨浦区科技企业服务中心」在创智汇做成可挂牌、可辅导、可申报的服务入口。挂牌仪式另计价；筹备过程不另向同浦汇收取费用。政策收益按第八章分成。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窗口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主题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交付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D0–15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叙事与主体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统一新赛道一页纸；确认挂牌主体、2人配置、创智汇接待位/500㎡展区界面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D16–45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制度与申报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服务制度、辅导SOP、载体认定材料包、创新券机构申请、高新路径清单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D46–75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产品化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展陈大纲、零碳研学模型、白皮书开题、首批可辅导企业名单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D76–90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可过审包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给审核方工程部门的初步方案、挂牌仪式报价（另计价）、Q4场次点火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空间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口径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创智汇（一期）｜上海·杨浦·五角场·创智天地｜约6600㎡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3F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约2850㎡　孵化器 + 办公 → 智能建造办公、装备体验、辅导接待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5F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约3670㎡　展厅 + 贸易 → 出海展陈、模块化样品、新材料、培训沙龙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专题展区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约500㎡　建筑产业出海主题展示（会上口径）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租金 / 物业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办公约3.3元/㎡/天｜物业约13.8元/㎡/月｜待租约8间（沟通口径）</w:t>
            </w:r>
          </w:p>
        </w:tc>
      </w:tr>
    </w:tbl>
    <w:p/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租金约3.3元高于周边，故本承接方案不做租赁对赌、不做租赁必要性。建议园区给予1–3个月免租，由同浦汇与园区线下谈，不写入服中心对同浦汇的承诺。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六、给审核方的三句口径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我们不是在招「付不起租金的施工队来租办公室」。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我们是在用科技企业服务中心，把智能建造产品、模块化建筑和绿色低碳能力组织成可出海的集群。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业主是杨浦科创集团；政府对接使用科技与产业服务口径，不以「中建」名义包装。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七、可核验指标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标准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场次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12个月内完成30场可核验活动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人数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单场签到≤30人，全年触达约600+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月报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每月1份，含名单摘要、照片、线索条数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服中心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90天内完成挂牌材料与制度包，具备申报条件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转化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每场输出看场线索，由同浦汇回访、园区促成；不设租金对赌</w:t>
            </w:r>
          </w:p>
        </w:tc>
      </w:tr>
    </w:tbl>
    <w:p/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八、商务与内部结算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8.1 对园区：活动年包30万元；付款节点见第四章；不做租金对赌。招商佣金按2个月净租金（首年不重复），由园区销售闭环触发。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8.2 同浦汇 × 服中心（建议，供确认并写入协议）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收入类型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建议分成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活动年包30万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服中心70% / 同浦汇30%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活动年包对园区仍为30万；内部按执行与接口拆分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政策申报收益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同浦汇38% / 服中心62%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以资金到账为准；两套分成互不混用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服中心筹备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不另向同浦汇收费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向政策与园区要的是牌照与申报入口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出海 / 领事 / 挂牌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一事一议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与年包、政策分成分开签署</w:t>
            </w:r>
          </w:p>
        </w:tc>
      </w:tr>
    </w:tbl>
    <w:p/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九、下一步（请同浦汇确认）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1. 同浦汇确认：承接范围（30场 + 服中心筹备）与不承接边界无异议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2. 确认内部结算：活动年包70/30、政策收益38/62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3. 确认8–9月前8场档期与场地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4. 确认向审核方提交的业主口径（杨浦科创集团）与赛道叙事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5. 签约后7日内启动款到位，T+14交付细化执行手册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十、配套文件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PPT：《同浦汇_30场活动与科技企业服务中心筹备_业务承接策划案.pptx》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Excel：《同浦汇_30场活动与科技企业服务中心筹备_执行台账.xlsx》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协议：《同浦汇_创智汇30场活动与服中心筹备_业务承接合作协议.docx》（可直接签署）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本文Word为可打印、可批注的完整策划案正文（复核定稿）。</w:t>
      </w:r>
    </w:p>
    <w:p>
      <w:pPr>
        <w:spacing w:after="24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（正文完）</w:t>
      </w:r>
    </w:p>
    <w:p>
      <w:pPr>
        <w:spacing w:after="40" w:before="0" w:line="360" w:lineRule="auto"/>
        <w:jc w:val="right"/>
      </w:pPr>
      <w:r>
        <w:rPr>
          <w:rFonts w:ascii="宋体" w:hAnsi="宋体" w:eastAsia="宋体"/>
          <w:b w:val="0"/>
          <w:sz w:val="24"/>
        </w:rPr>
        <w:t>上海市杨浦区科技企业服务中心</w:t>
      </w:r>
    </w:p>
    <w:p>
      <w:pPr>
        <w:spacing w:after="40" w:before="0" w:line="360" w:lineRule="auto"/>
        <w:jc w:val="right"/>
      </w:pPr>
      <w:r>
        <w:rPr>
          <w:rFonts w:ascii="宋体" w:hAnsi="宋体" w:eastAsia="宋体"/>
          <w:b w:val="0"/>
          <w:sz w:val="24"/>
        </w:rPr>
        <w:t>2026年9月1日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