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房 屋 租 赁 合 同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GS · iDrive Hub · 01# 研发楼 · 链主总部（甲档）样张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草案版本：v1.0 · 仅供业务讨论 · 签约前由法务最终定稿</w:t>
      </w:r>
    </w:p>
    <w:p>
      <w:r>
        <w:rPr>
          <w:rFonts w:ascii="Calibri" w:hAnsi="Calibri" w:eastAsia="WenQuanYi Micro Hei"/>
          <w:b w:val="0"/>
          <w:i w:val="0"/>
          <w:sz w:val="22"/>
        </w:rPr>
      </w:r>
    </w:p>
    <w:p>
      <w:r>
        <w:rPr>
          <w:rFonts w:ascii="Calibri" w:hAnsi="Calibri" w:eastAsia="WenQuanYi Micro Hei"/>
          <w:b/>
          <w:sz w:val="24"/>
        </w:rPr>
        <w:t>合同编号：GS-LH-XXXX-001</w:t>
      </w:r>
    </w:p>
    <w:p>
      <w:r>
        <w:rPr>
          <w:rFonts w:ascii="Calibri" w:hAnsi="Calibri" w:eastAsia="WenQuanYi Micro Hei"/>
          <w:b/>
          <w:color w:val="0F2D52"/>
          <w:sz w:val="28"/>
        </w:rPr>
        <w:t>签约方信息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出租方（甲方）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上海冠松 [项目运营公司全称] 有限公司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注册地址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上海市静安区永和路 [号待补]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法定代表人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[姓名]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统一社会信用代码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[91310106XXXXXXXXXX]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承租方（乙方）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[链主企业全称]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注册地址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[乙方注册地]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法定代表人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[姓名]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统一社会信用代码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[XXXXX]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鉴于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1. 甲方系上海市静安区永和社区 N070601 单元 075b-07 地块『01# 研发楼』（地上 9F 共 15,152.75 ㎡，地下 2F 共 6,992.87 ㎡）的合法权属人；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 乙方系智能驾驶产业链链主企业，拟在上海中心城区设立总部级研发中心；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 双方就乙方租赁甲方所属 8F+9F 两整层（共约 3,366 ㎡）并配套相关产业服务事宜，经平等友好协商，达成本合同。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第一条 · 租赁标的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标的名称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01# 研发楼 · 8F + 9F 整层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出租面积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约 3,366 ㎡（其中套内 ~2,800 ㎡，公摊 ~566 ㎡，按实测交付为准）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净层高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8F 4.2 m / 9F 4.3 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用地性质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C6 教育科研设计用地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装配式 / 绿建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100% 装配整体式框架核心筒 / 绿建二星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配套车位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B2 专属智驾车位 8–12 个（含充电桩）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交付标准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毛坯（机电、消防、弱电按附件 E 实测）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第二条 · 租赁期限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2.1 租赁期共 6 年，自 [起始日] 起至 [结束日] 止，含免租期 15 个月。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2.2 交付日：[YYYY-MM-DD]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2.3 进场日（装修起算）：[YYYY-MM-DD]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2.4 起租日（免租期满）：[YYYY-MM-DD]</w:t>
      </w:r>
    </w:p>
    <w:p>
      <w:r>
        <w:rPr>
          <w:rFonts w:ascii="Calibri" w:hAnsi="Calibri" w:eastAsia="WenQuanYi Micro Hei"/>
          <w:b/>
          <w:color w:val="0F2D52"/>
          <w:sz w:val="28"/>
        </w:rPr>
        <w:t>第三条 · 租金与免租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3.1 起始租金：人民币 5.8 元/㎡·天（不含税不含物业费）；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3.2 物业费：人民币 28 元/㎡·月，按月支付，由乙方承担；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3.3 免租期：自交付日起 15 个月（含装修期）；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3.4 调价机制：每 3 年一调，调幅 = max(CPI, 5%)；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3.5 租金支付：按月支付，每月 5 日前支付当月租金；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3.6 滞纳金：万分之五/日；逾期 30 日以上甲方有权单方解除合同。</w:t>
      </w:r>
    </w:p>
    <w:p>
      <w:r>
        <w:rPr>
          <w:rFonts w:ascii="Calibri" w:hAnsi="Calibri" w:eastAsia="WenQuanYi Micro Hei"/>
          <w:b/>
          <w:color w:val="0F2D52"/>
          <w:sz w:val="28"/>
        </w:rPr>
        <w:t>第四条 · 履约保证金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4.1 履约保证金：6 个月租金（人民币 [金额]）；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4.2 保证金支付：合同签订后 30 日内一次性支付；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4.3 扣减顺序：欠付租金 → 物业费 → 设施损坏赔偿 → 其他违约金；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4.4 退还：合同终止且无未结清款项后 30 日内无息退还。</w:t>
      </w:r>
    </w:p>
    <w:p>
      <w:r>
        <w:rPr>
          <w:rFonts w:ascii="Calibri" w:hAnsi="Calibri" w:eastAsia="WenQuanYi Micro Hei"/>
          <w:b/>
          <w:color w:val="0F2D52"/>
          <w:sz w:val="28"/>
        </w:rPr>
        <w:t>第五条 · 装修与装补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5.1 装补金额：1,000 元/㎡，封顶人民币 336 万元；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5.2 装补支付节奏：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进场施工 30%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完工验收 30%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起租日 30%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起租满 12 个月 10%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5.3 装修方案：乙方装修方案需经甲方书面审批后施工，符合装配式建筑接口要求；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5.4 恢复原状：合同终止时，乙方装修无需恢复原状（甲方接受现状）。</w:t>
      </w:r>
    </w:p>
    <w:p>
      <w:r>
        <w:rPr>
          <w:rFonts w:ascii="Calibri" w:hAnsi="Calibri" w:eastAsia="WenQuanYi Micro Hei"/>
          <w:b/>
          <w:color w:val="0F2D52"/>
          <w:sz w:val="28"/>
        </w:rPr>
        <w:t>第六条 · 用途相符性（C6 用地特别约定）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标的位于 C6 教育科研设计用地，乙方仅限将标的用于：研发设计、设计服务、第三方测试认证、产学研合作、博士后工作站等符合 C6 主导功能的业态，不得用于：纯商务总部（除经主管部门书面认可外）、制造、仓储、教培、零售。如政府主管部门提出整改，乙方应配合整改。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第七条 · 转租与分租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7.1 原则禁止；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7.2 经甲方书面同意，可分租至乙方关联公司；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7.3 不得超出原合同条件分租。</w:t>
      </w:r>
    </w:p>
    <w:p>
      <w:r>
        <w:rPr>
          <w:rFonts w:ascii="Calibri" w:hAnsi="Calibri" w:eastAsia="WenQuanYi Micro Hei"/>
          <w:b/>
          <w:color w:val="0F2D52"/>
          <w:sz w:val="28"/>
        </w:rPr>
        <w:t>第八条 · 退出与续约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8.1 优先续约权：到期前 12 个月乙方可优先续约 5 年；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8.2 提前退租赔偿：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合同生效 5 年内：偿还未摊销装补 + 80% 已发生政策返还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合同生效 5 年后：偿还未摊销装补的 50%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8.3 装修撤场赔偿：乙方装修资产视情况由甲方按净值收购或拆除恢复。</w:t>
      </w:r>
    </w:p>
    <w:p>
      <w:r>
        <w:rPr>
          <w:rFonts w:ascii="Calibri" w:hAnsi="Calibri" w:eastAsia="WenQuanYi Micro Hei"/>
          <w:b/>
          <w:color w:val="0F2D52"/>
          <w:sz w:val="28"/>
        </w:rPr>
        <w:t>第九条 · 产业服务包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服务包详细内容见附件 A。包括但不限于：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1F 大堂主背景墙冠名权 5 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9F 屋顶花园专属使用日 ≥ 2 次/年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嘉定/临港封闭测试场会员代办（终身免费）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1.5 km 静安区路测延伸路段联合申请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共享算力券配额 50 万元/年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数据合规沙盒白名单 + 优先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招聘联运 + 落户绿通 30 个/年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9 月发布会主旨演讲位 + 媒体首发权</w:t>
      </w:r>
    </w:p>
    <w:p>
      <w:r>
        <w:rPr>
          <w:rFonts w:ascii="Calibri" w:hAnsi="Calibri" w:eastAsia="WenQuanYi Micro Hei"/>
          <w:b/>
          <w:color w:val="0F2D52"/>
          <w:sz w:val="28"/>
        </w:rPr>
        <w:t>第十条 · 政策返还（一企一策）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10.1 区级税收留成 80% 三年返、50% 后两年返，以静安区政府专班书面文件（附件 B）为准；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10.2 一次性落户奖励、人才公寓配额、L3/L4 试点联合体推荐 等，以一企一策书面协议为准；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10.3 政策返还不构成甲方独立担保义务。如政府未按期兑现，甲方协助乙方追索，但不承担连带支付责任。</w:t>
      </w:r>
    </w:p>
    <w:p>
      <w:r>
        <w:rPr>
          <w:rFonts w:ascii="Calibri" w:hAnsi="Calibri" w:eastAsia="WenQuanYi Micro Hei"/>
          <w:b/>
          <w:color w:val="0F2D52"/>
          <w:sz w:val="28"/>
        </w:rPr>
        <w:t>第十一条 · 品牌权益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11.1 楼宇外立面冠名「[链主] · iDrive Tower 01」5 年；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11.2 1F 大堂主背景墙冠名 5 年；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11.3 9 月年度发布会主旨演讲 + 媒体首发权；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11.4 年度站台 ≥ 2 次。</w:t>
      </w:r>
    </w:p>
    <w:p>
      <w:r>
        <w:rPr>
          <w:rFonts w:ascii="Calibri" w:hAnsi="Calibri" w:eastAsia="WenQuanYi Micro Hei"/>
          <w:b/>
          <w:color w:val="0F2D52"/>
          <w:sz w:val="28"/>
        </w:rPr>
        <w:t>第十二条 · 合规与数据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双方共同遵守：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《反不正当竞争法》《反垄断法》《反贿赂法》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《个人信息保护法》《数据安全法》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《出口管制法》《外商投资法》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智能网联汽车测试相关法规</w:t>
      </w:r>
    </w:p>
    <w:p>
      <w:r>
        <w:rPr>
          <w:rFonts w:ascii="Calibri" w:hAnsi="Calibri" w:eastAsia="WenQuanYi Micro Hei"/>
          <w:b/>
          <w:color w:val="0F2D52"/>
          <w:sz w:val="28"/>
        </w:rPr>
        <w:t>第十三条 · 不可抗力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因不可抗力（含突发疫情、重大灾害、政府征收、用地用途调整等）导致合同无法履行，双方互不追究违约责任，但应及时通知对方并采取合理措施降低损失。</w:t>
      </w:r>
    </w:p>
    <w:p>
      <w:r>
        <w:rPr>
          <w:rFonts w:ascii="Calibri" w:hAnsi="Calibri" w:eastAsia="WenQuanYi Micro Hei"/>
          <w:b/>
          <w:color w:val="0F2D52"/>
          <w:sz w:val="28"/>
        </w:rPr>
        <w:t>第十四条 · 违约与解除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14.1 乙方违约情形：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无故拖欠租金、物业费超 30 日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未经书面同意擅自转租、改变用途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重大安全 / 合规事件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14.2 甲方违约情形：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未按交付标准交付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未按合同协助办理政策返还、人才公寓等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重大安保 / 物业事故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14.3 违约金：违约方支付未执行租金的 20% 作为违约金；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14.4 解除条件：单方违约且经书面催告 30 日仍未改正的，守约方可解除合同。</w:t>
      </w:r>
    </w:p>
    <w:p>
      <w:r>
        <w:rPr>
          <w:rFonts w:ascii="Calibri" w:hAnsi="Calibri" w:eastAsia="WenQuanYi Micro Hei"/>
          <w:b/>
          <w:color w:val="0F2D52"/>
          <w:sz w:val="28"/>
        </w:rPr>
        <w:t>第十五条 · 通知与送达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本合同所有书面通知发至以下地址或邮箱视为送达：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甲方收件地址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[出租方地址]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甲方邮箱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[contact@guansong.com]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乙方收件地址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[承租方地址]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乙方邮箱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[xxx@xxx.com]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第十六条 · 争议解决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因本合同发生的任何争议，应首先通过友好协商解决。协商不成的，提交上海仲裁委员会按其届时有效的仲裁规则进行仲裁，仲裁裁决为终局，对双方均有约束力。</w:t>
      </w:r>
    </w:p>
    <w:p>
      <w:r>
        <w:rPr>
          <w:rFonts w:ascii="Calibri" w:hAnsi="Calibri" w:eastAsia="WenQuanYi Micro Hei"/>
          <w:b/>
          <w:color w:val="0F2D52"/>
          <w:sz w:val="28"/>
        </w:rPr>
        <w:t>第十七条 · 附则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17.1 本合同自双方法定代表人或授权代表签字盖章之日起生效；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17.2 本合同一式四份，双方各执两份；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17.3 附件与本合同具有同等法律效力。</w:t>
      </w:r>
    </w:p>
    <w:p>
      <w:r>
        <w:rPr>
          <w:rFonts w:ascii="Calibri" w:hAnsi="Calibri" w:eastAsia="WenQuanYi Micro Hei"/>
          <w:b/>
          <w:color w:val="0F2D52"/>
          <w:sz w:val="28"/>
        </w:rPr>
        <w:t>附件清单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A：产业服务包细则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B：政策返还文件清单（一企一策）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C：交付标准 + 房屋现状照片 + 楼面荷载/供电预留实测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D：装修管理办法（含装配式接口要求）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E：客户入驻须知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甲方：上海冠松 [项目运营公司]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乙方：[链主企业全称]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