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WenQuanYi Micro Hei"/>
          <w:b/>
          <w:sz w:val="40"/>
        </w:rPr>
        <w:t>房 屋 租 赁 居 间 服 务 协 议</w:t>
      </w:r>
    </w:p>
    <w:p>
      <w:pPr>
        <w:jc w:val="center"/>
      </w:pPr>
      <w:r>
        <w:rPr>
          <w:rFonts w:ascii="Calibri" w:hAnsi="Calibri" w:eastAsia="WenQuanYi Micro Hei"/>
          <w:b w:val="0"/>
          <w:color w:val="6B7380"/>
          <w:sz w:val="24"/>
        </w:rPr>
        <w:t>GS · iDrive Hub · 01# 研发楼 · 中介渠道通用版</w:t>
      </w:r>
    </w:p>
    <w:p>
      <w:pPr>
        <w:jc w:val="center"/>
      </w:pPr>
      <w:r>
        <w:rPr>
          <w:rFonts w:ascii="Calibri" w:hAnsi="Calibri" w:eastAsia="WenQuanYi Micro Hei"/>
          <w:b w:val="0"/>
          <w:color w:val="6B7380"/>
          <w:sz w:val="24"/>
        </w:rPr>
        <w:t>草案版本：v1.0 · 仅供业务讨论 · 签约前由法务最终定稿</w:t>
      </w:r>
    </w:p>
    <w:p>
      <w:r>
        <w:rPr>
          <w:rFonts w:ascii="Calibri" w:hAnsi="Calibri" w:eastAsia="WenQuanYi Micro Hei"/>
          <w:b w:val="0"/>
          <w:i w:val="0"/>
          <w:sz w:val="22"/>
        </w:rPr>
      </w:r>
    </w:p>
    <w:p>
      <w:r>
        <w:rPr>
          <w:rFonts w:ascii="Calibri" w:hAnsi="Calibri" w:eastAsia="WenQuanYi Micro Hei"/>
          <w:b/>
          <w:sz w:val="24"/>
        </w:rPr>
        <w:t>合同编号：GS-BRK-XXXX</w:t>
      </w:r>
    </w:p>
    <w:p>
      <w:r>
        <w:rPr>
          <w:rFonts w:ascii="Calibri" w:hAnsi="Calibri" w:eastAsia="WenQuanYi Micro Hei"/>
          <w:b/>
          <w:color w:val="0F2D52"/>
          <w:sz w:val="28"/>
        </w:rPr>
        <w:t>签约方信息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委托方（甲方）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上海冠松 [项目运营公司全称] 有限公司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居间方（乙方）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[戴德梁行 / 仲量联行 / 高力国际 / 世邦魏理仕 / 本地精品行 之一]</w:t>
            </w:r>
          </w:p>
        </w:tc>
      </w:tr>
    </w:tbl>
    <w:p>
      <w:r>
        <w:rPr>
          <w:rFonts w:ascii="Calibri" w:hAnsi="Calibri" w:eastAsia="WenQuanYi Micro Hei"/>
          <w:b/>
          <w:color w:val="0F2D52"/>
          <w:sz w:val="28"/>
        </w:rPr>
        <w:t>第一条 · 服务标的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标的位于上海市静安区永和社区 075b-07 地块『01# 研发楼』（地上 9F 共 15,152.75 ㎡）的可出租办公面积。标的具体面积、租金、免租等以甲方当时有效之《报价单》为准。</w:t>
      </w:r>
    </w:p>
    <w:p>
      <w:r>
        <w:rPr>
          <w:rFonts w:ascii="Calibri" w:hAnsi="Calibri" w:eastAsia="WenQuanYi Micro Hei"/>
          <w:b/>
          <w:color w:val="0F2D52"/>
          <w:sz w:val="28"/>
        </w:rPr>
        <w:t>第二条 · 合作模式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2.1 非独家合作：甲方有权同时委托其他中介及自行招商；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2.2 30 天首报机制：乙方就特定客户首次以书面《客户报备表》登记，并经甲方书面确认，自确认日起 6 个月内该客户与甲方就标的签署租赁合同的，佣金归乙方；逾期未签约的，客户回归公盘；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2.3 客户冲突：以甲方首次书面确认者为准；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2.4 服务内容：客户开发、需求摸查、踏勘陪同、报价转达、谈判协助、合同签署见证、入驻后回访等。</w:t>
      </w:r>
    </w:p>
    <w:p>
      <w:r>
        <w:rPr>
          <w:rFonts w:ascii="Calibri" w:hAnsi="Calibri" w:eastAsia="WenQuanYi Micro Hei"/>
          <w:b/>
          <w:color w:val="0F2D52"/>
          <w:sz w:val="28"/>
        </w:rPr>
        <w:t>第三条 · 佣金标准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标准生态客户（合同期 ≥ 3 年）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成交首月不含税净租金 × 100%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合同期 ≥ 5 年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成交首月不含税净租金 × 120%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链主客户（单笔 ≥ 3,000 ㎡）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一事一议，最高 150%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续约（原中介）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续约首月 × 30%（仅一次）</w:t>
            </w:r>
          </w:p>
        </w:tc>
      </w:tr>
    </w:tbl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口径说明：不含税净租金 = 合同租金 − 物业费 − 增值税。</w:t>
      </w:r>
    </w:p>
    <w:p>
      <w:r>
        <w:rPr>
          <w:rFonts w:ascii="Calibri" w:hAnsi="Calibri" w:eastAsia="WenQuanYi Micro Hei"/>
          <w:b/>
          <w:color w:val="0F2D52"/>
          <w:sz w:val="28"/>
        </w:rPr>
        <w:t>第四条 · 佣金支付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4.1 客户进场入驻 + 首月租金到账后 30 个工作日内，甲方一次性支付佣金；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4.2 乙方需开具 6% 现代服务业增值税专用发票；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4.3 扣回机制：客户在合同生效 12 个月内退租 / 违约 / 提前终止，按未履行月数比例扣回佣金；</w:t>
      </w:r>
    </w:p>
    <w:p>
      <w:r>
        <w:rPr>
          <w:rFonts w:ascii="Calibri" w:hAnsi="Calibri" w:eastAsia="WenQuanYi Micro Hei"/>
          <w:b/>
          <w:color w:val="0F2D52"/>
          <w:sz w:val="28"/>
        </w:rPr>
        <w:t>第五条 · 客户报备与流程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5.1 乙方使用《客户报备表》（附件 A）发送至 [info@guansong-ihub.com]，甲方 2 个工作日内书面回执；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5.2 踏勘前 24 小时书面预约，甲方陪同；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5.3 报价以甲方书面《报价单》为准，乙方不得擅自承诺免租、装补、政策返还等条件。</w:t>
      </w:r>
    </w:p>
    <w:p>
      <w:r>
        <w:rPr>
          <w:rFonts w:ascii="Calibri" w:hAnsi="Calibri" w:eastAsia="WenQuanYi Micro Hei"/>
          <w:b/>
          <w:color w:val="0F2D52"/>
          <w:sz w:val="28"/>
        </w:rPr>
        <w:t>第六条 · 合规与保密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反贿赂 / 反不正当竞争声明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反商业秘密泄露：客户信息、租金谈判过程仅用于本项目居间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数据合规：客户决策人个人信息按《个人信息保护法》处理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乙方不得在公开渠道使用甲方未授权的项目效果图、租金水平</w:t>
      </w:r>
    </w:p>
    <w:p>
      <w:r>
        <w:rPr>
          <w:rFonts w:ascii="Calibri" w:hAnsi="Calibri" w:eastAsia="WenQuanYi Micro Hei"/>
          <w:b/>
          <w:color w:val="0F2D52"/>
          <w:sz w:val="28"/>
        </w:rPr>
        <w:t>第七条 · 考核与退出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7.1 季度评比：成交家数、面积、转化率、客户满意度；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7.2 末位中介下季度佣金档下调 20%；连续两季末位则甲方有权终止合作；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7.3 任何一方提前 30 日书面通知可终止协议；已报备客户在 6 个月内仍享佣金权益。</w:t>
      </w:r>
    </w:p>
    <w:p>
      <w:r>
        <w:rPr>
          <w:rFonts w:ascii="Calibri" w:hAnsi="Calibri" w:eastAsia="WenQuanYi Micro Hei"/>
          <w:b/>
          <w:color w:val="0F2D52"/>
          <w:sz w:val="28"/>
        </w:rPr>
        <w:t>第八条 · 争议解决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提交上海仲裁委员会按其届时有效仲裁规则仲裁，仲裁裁决终局。</w:t>
      </w:r>
    </w:p>
    <w:p>
      <w:r>
        <w:rPr>
          <w:rFonts w:ascii="Calibri" w:hAnsi="Calibri" w:eastAsia="WenQuanYi Micro Hei"/>
          <w:b/>
          <w:color w:val="0F2D52"/>
          <w:sz w:val="28"/>
        </w:rPr>
        <w:t>附件清单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附件 A：客户报备表模板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附件 B：标的报价单（每月更新）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附件 C：佣金结算单模板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4"/>
              </w:rPr>
              <w:t>甲方：上海冠松 [项目运营公司]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4"/>
              </w:rPr>
              <w:t>乙方：[中介机构]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法定代表人 / 授权代表：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法定代表人 / 授权代表：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签署日期：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签署日期：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eastAsia="WenQuanYi Micro 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