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WenQuanYi Micro Hei"/>
          <w:b/>
          <w:sz w:val="40"/>
        </w:rPr>
        <w:t>联合实验室共建合作协议</w:t>
      </w:r>
    </w:p>
    <w:p>
      <w:pPr>
        <w:jc w:val="center"/>
      </w:pPr>
      <w:r>
        <w:rPr>
          <w:rFonts w:ascii="Calibri" w:hAnsi="Calibri" w:eastAsia="WenQuanYi Micro Hei"/>
          <w:b w:val="0"/>
          <w:color w:val="6B7380"/>
          <w:sz w:val="24"/>
        </w:rPr>
        <w:t>GS · iDrive Hub · 3F 联合研发实验室 · 链主 + 我方</w:t>
      </w:r>
    </w:p>
    <w:p>
      <w:pPr>
        <w:jc w:val="center"/>
      </w:pPr>
      <w:r>
        <w:rPr>
          <w:rFonts w:ascii="Calibri" w:hAnsi="Calibri" w:eastAsia="WenQuanYi Micro Hei"/>
          <w:b w:val="0"/>
          <w:color w:val="6B7380"/>
          <w:sz w:val="24"/>
        </w:rPr>
        <w:t>草案版本：v1.0 · 仅供业务讨论 · 签约前由法务最终定稿</w:t>
      </w:r>
    </w:p>
    <w:p>
      <w:r>
        <w:rPr>
          <w:rFonts w:ascii="Calibri" w:hAnsi="Calibri" w:eastAsia="WenQuanYi Micro Hei"/>
          <w:b w:val="0"/>
          <w:i w:val="0"/>
          <w:sz w:val="22"/>
        </w:rPr>
      </w:r>
    </w:p>
    <w:p>
      <w:r>
        <w:rPr>
          <w:rFonts w:ascii="Calibri" w:hAnsi="Calibri" w:eastAsia="WenQuanYi Micro Hei"/>
          <w:b/>
          <w:sz w:val="24"/>
        </w:rPr>
        <w:t>协议编号：GS-LAB-XXXX</w:t>
      </w:r>
    </w:p>
    <w:p>
      <w:r>
        <w:rPr>
          <w:rFonts w:ascii="Calibri" w:hAnsi="Calibri" w:eastAsia="WenQuanYi Micro Hei"/>
          <w:b/>
          <w:color w:val="0F2D52"/>
          <w:sz w:val="28"/>
        </w:rPr>
        <w:t>签约方信息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甲方（园区方）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上海冠松 [项目运营公司全称] 有限公司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乙方（链主方）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[链主企业全称，如：地平线 / 华为车 BU 等]</w:t>
            </w:r>
          </w:p>
        </w:tc>
      </w:tr>
    </w:tbl>
    <w:p>
      <w:r>
        <w:rPr>
          <w:rFonts w:ascii="Calibri" w:hAnsi="Calibri" w:eastAsia="WenQuanYi Micro Hei"/>
          <w:b/>
          <w:color w:val="0F2D52"/>
          <w:sz w:val="28"/>
        </w:rPr>
        <w:t>鉴于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1. 甲方运营 GS · iDrive Hub · 01# 研发楼 3F 核心研发层（净层高 5.7 m，约 1,683 ㎡）；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2. 乙方系智能驾驶产业链链主企业，拥有领先的算法/硬件/数据/仿真能力；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3. 双方拟在 3F 共建『[名称] · GS 联合研发实验室』，用于算法-硬件协同验证、Tier1 客户演示、产业生态加速。</w:t>
      </w:r>
    </w:p>
    <w:p>
      <w:r>
        <w:rPr>
          <w:rFonts w:ascii="Calibri" w:hAnsi="Calibri" w:eastAsia="WenQuanYi Micro Hei"/>
          <w:b/>
          <w:color w:val="0F2D52"/>
          <w:sz w:val="28"/>
        </w:rPr>
        <w:t>第一条 · 实验室基本信息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6236"/>
      </w:tblGrid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实验室名称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[链主] · GS 联合研发实验室（暂定）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位置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01# 研发楼 3F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面积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约 1,683 ㎡（含办公 + 实验区 + 演示厅）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净层高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5.7 m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楼面荷载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甲方加固至 ≥ 7.5 kN/㎡（甲方承担）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供电预留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≥ 350 W/㎡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成立时间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[YYYY-MM-DD]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2"/>
              </w:rPr>
              <w:t>合作期限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5 年（可续 5 年）</w:t>
            </w:r>
          </w:p>
        </w:tc>
      </w:tr>
    </w:tbl>
    <w:p>
      <w:r>
        <w:rPr>
          <w:rFonts w:ascii="Calibri" w:hAnsi="Calibri" w:eastAsia="WenQuanYi Micro Hei"/>
          <w:b/>
          <w:color w:val="0F2D52"/>
          <w:sz w:val="28"/>
        </w:rPr>
        <w:t>第二条 · 出资与权益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2.1 出资：双方按 50%:50% 比例共同出资建设实验室硬件设施；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2.2 权益分配：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甲方：提供物理空间 + 楼面加固 + 机电预留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乙方：提供算法/硬件设备 + 研发人员 + 品牌冠名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2.3 命名权：乙方享冠名「[链主] · GS 联合研发实验室」5 年；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2.4 优先调度权：乙方优先使用 60% 时段，剩余 40% 由甲方安排其他客户使用。</w:t>
      </w:r>
    </w:p>
    <w:p>
      <w:r>
        <w:rPr>
          <w:rFonts w:ascii="Calibri" w:hAnsi="Calibri" w:eastAsia="WenQuanYi Micro Hei"/>
          <w:b/>
          <w:color w:val="0F2D52"/>
          <w:sz w:val="28"/>
        </w:rPr>
        <w:t>第三条 · 治理结构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3.1 实验室管理委员会：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甲方代表 2 人（项目总监 + 运营总监）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乙方代表 2 人（[岗位] + [岗位]）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管委会主任：双方协商确定，每年轮值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3.2 决策机制：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实验室年度预算 / 重大事项：管委会一致同意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日常运营 / 排期：管委会主任决策</w:t>
      </w:r>
    </w:p>
    <w:p>
      <w:r>
        <w:rPr>
          <w:rFonts w:ascii="Calibri" w:hAnsi="Calibri" w:eastAsia="WenQuanYi Micro Hei"/>
          <w:b/>
          <w:color w:val="0F2D52"/>
          <w:sz w:val="28"/>
        </w:rPr>
        <w:t>第四条 · 财务安排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4.1 一次性建设投入：人民币 [金额] 万元（双方各 50%）；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4.2 年度运营预算：人民币 [金额] 万元/年（双方各 50%）；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4.3 实验室对外承接服务（如对生态企业、Tier1 客户）的收入，扣除直接成本后按双方出资比例分配。</w:t>
      </w:r>
    </w:p>
    <w:p>
      <w:r>
        <w:rPr>
          <w:rFonts w:ascii="Calibri" w:hAnsi="Calibri" w:eastAsia="WenQuanYi Micro Hei"/>
          <w:b/>
          <w:color w:val="0F2D52"/>
          <w:sz w:val="28"/>
        </w:rPr>
        <w:t>第五条 · 知识产权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5.1 各自原有知识产权归各自所有，对方有合理使用权；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5.2 联合实验室期间产生的新知识产权：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由乙方主导研发的：归乙方所有，甲方有学术发表署名权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由甲方主导提供的运营/管理工具：归甲方所有</w:t>
      </w:r>
    </w:p>
    <w:p>
      <w:pPr>
        <w:pStyle w:val="ListBullet"/>
      </w:pPr>
      <w:r>
        <w:rPr>
          <w:rFonts w:ascii="Calibri" w:hAnsi="Calibri" w:eastAsia="WenQuanYi Micro Hei"/>
          <w:b w:val="0"/>
          <w:sz w:val="22"/>
        </w:rPr>
        <w:t>联合产生的：双方共有，商用需双方协商</w:t>
      </w:r>
    </w:p>
    <w:p>
      <w:r>
        <w:rPr>
          <w:rFonts w:ascii="Calibri" w:hAnsi="Calibri" w:eastAsia="WenQuanYi Micro Hei"/>
          <w:b/>
          <w:color w:val="0F2D52"/>
          <w:sz w:val="28"/>
        </w:rPr>
        <w:t>第六条 · 数据与合规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6.1 数据使用：实验室产生的测试数据按数据合规沙盒规则脱敏处理；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6.2 出口管制：涉及出口管制的算法/硬件，乙方承担合规义务；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6.3 数据出境：与上海数交所合规沙盒对接，按 PIPL 处理。</w:t>
      </w:r>
    </w:p>
    <w:p>
      <w:r>
        <w:rPr>
          <w:rFonts w:ascii="Calibri" w:hAnsi="Calibri" w:eastAsia="WenQuanYi Micro Hei"/>
          <w:b/>
          <w:color w:val="0F2D52"/>
          <w:sz w:val="28"/>
        </w:rPr>
        <w:t>第七条 · 退出机制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7.1 任何一方提前 12 个月书面通知可退出；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7.2 退出时硬件资产按账面净值由继续方收购或拆除；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7.3 命名权同步终止；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7.4 联合知识产权按既定比例分割。</w:t>
      </w:r>
    </w:p>
    <w:p>
      <w:r>
        <w:rPr>
          <w:rFonts w:ascii="Calibri" w:hAnsi="Calibri" w:eastAsia="WenQuanYi Micro Hei"/>
          <w:b/>
          <w:color w:val="0F2D52"/>
          <w:sz w:val="28"/>
        </w:rPr>
        <w:t>第八条 · 争议解决</w:t>
      </w:r>
    </w:p>
    <w:p>
      <w:pPr>
        <w:ind w:firstLine="420"/>
      </w:pPr>
      <w:r>
        <w:rPr>
          <w:rFonts w:ascii="Calibri" w:hAnsi="Calibri" w:eastAsia="WenQuanYi Micro Hei"/>
          <w:b w:val="0"/>
          <w:i w:val="0"/>
          <w:sz w:val="22"/>
        </w:rPr>
        <w:t>提交上海仲裁委员会按其届时有效仲裁规则仲裁，仲裁裁决终局。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4"/>
              </w:rPr>
              <w:t>甲方：上海冠松 [项目运营公司]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/>
                <w:sz w:val="24"/>
              </w:rPr>
              <w:t>乙方：[链主企业]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法定代表人 / 授权代表：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法定代表人 / 授权代表：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签署日期：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  <w:t>签署日期：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WenQuanYi Micro Hei"/>
                <w:b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eastAsia="WenQuanYi Micro 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