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WenQuanYi Micro Hei"/>
          <w:b/>
          <w:i w:val="0"/>
          <w:color w:val="0F2D52"/>
          <w:sz w:val="40"/>
        </w:rPr>
        <w:t>非租金收入构成解读</w:t>
      </w:r>
    </w:p>
    <w:p>
      <w:pPr>
        <w:jc w:val="center"/>
      </w:pPr>
      <w:r>
        <w:rPr>
          <w:rFonts w:ascii="Calibri" w:hAnsi="Calibri" w:eastAsia="WenQuanYi Micro Hei"/>
          <w:b w:val="0"/>
          <w:i w:val="0"/>
          <w:color w:val="6B7380"/>
          <w:sz w:val="24"/>
        </w:rPr>
        <w:t>服务平台佣金 + 后市场协同分成 · 产业逻辑 / 6+6 子项 / 投决会备答</w:t>
      </w:r>
    </w:p>
    <w:p>
      <w:pPr>
        <w:jc w:val="center"/>
      </w:pPr>
      <w:r>
        <w:rPr>
          <w:rFonts w:ascii="Calibri" w:hAnsi="Calibri" w:eastAsia="WenQuanYi Micro Hei"/>
          <w:b w:val="0"/>
          <w:i w:val="0"/>
          <w:color w:val="6B7380"/>
          <w:sz w:val="24"/>
        </w:rPr>
        <w:t>GS · iDrive Hub · 01# 研发楼</w:t>
      </w:r>
    </w:p>
    <w:p>
      <w:pPr>
        <w:jc w:val="center"/>
      </w:pPr>
      <w:r>
        <w:rPr>
          <w:rFonts w:ascii="Calibri" w:hAnsi="Calibri" w:eastAsia="WenQuanYi Micro Hei"/>
          <w:b w:val="0"/>
          <w:i w:val="0"/>
          <w:color w:val="6B7380"/>
          <w:sz w:val="24"/>
        </w:rPr>
        <w:t>v1.2.1 · 投决会汇报版</w:t>
      </w:r>
    </w:p>
    <w:p/>
    <w:p>
      <w:r>
        <w:rPr>
          <w:rFonts w:ascii="Calibri" w:hAnsi="Calibri" w:eastAsia="WenQuanYi Micro Hei"/>
          <w:b/>
          <w:i w:val="0"/>
          <w:color w:val="0F2D52"/>
          <w:sz w:val="30"/>
        </w:rPr>
        <w:t>一、为什么这两项要单独解读</w:t>
      </w:r>
    </w:p>
    <w:p>
      <w:r>
        <w:rPr>
          <w:rFonts w:ascii="Calibri" w:hAnsi="Calibri" w:eastAsia="WenQuanYi Micro Hei"/>
          <w:b/>
          <w:i w:val="0"/>
          <w:sz w:val="24"/>
        </w:rPr>
        <w:t>1.1 财务模型位置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收入项</w:t>
            </w:r>
          </w:p>
        </w:tc>
        <w:tc>
          <w:tcPr>
            <w:tcW w:type="dxa" w:w="188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Y1</w:t>
            </w:r>
          </w:p>
        </w:tc>
        <w:tc>
          <w:tcPr>
            <w:tcW w:type="dxa" w:w="188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Y2</w:t>
            </w:r>
          </w:p>
        </w:tc>
        <w:tc>
          <w:tcPr>
            <w:tcW w:type="dxa" w:w="188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Y3</w:t>
            </w:r>
          </w:p>
        </w:tc>
        <w:tc>
          <w:tcPr>
            <w:tcW w:type="dxa" w:w="188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Y3 占比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租金 + 物业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712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1,637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2,348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41%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服务平台佣金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250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600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10%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1F+2F 冠名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300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500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9%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后市场协同分成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50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150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300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5%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政策返还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600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1,500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26%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基金管理费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300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500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9%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总收入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1,022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3,237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5,748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100%</w:t>
            </w:r>
          </w:p>
        </w:tc>
      </w:tr>
    </w:tbl>
    <w:p/>
    <w:p>
      <w:r>
        <w:rPr>
          <w:rFonts w:ascii="Calibri" w:hAnsi="Calibri" w:eastAsia="WenQuanYi Micro Hei"/>
          <w:b/>
          <w:i w:val="0"/>
          <w:sz w:val="24"/>
        </w:rPr>
        <w:t>1.2 关键观察 · 这两项决定项目生死</w:t>
      </w:r>
    </w:p>
    <w:p>
      <w:pPr>
        <w:ind w:firstLine="420"/>
      </w:pPr>
      <w:r>
        <w:rPr>
          <w:rFonts w:ascii="Calibri" w:hAnsi="Calibri" w:eastAsia="WenQuanYi Micro Hei"/>
          <w:b/>
          <w:i w:val="0"/>
          <w:color w:val="D04A4A"/>
          <w:sz w:val="22"/>
        </w:rPr>
        <w:t>若仅靠租金 + 物业，Y3 收入 2,348 万 &lt; 总成本 4,380 万 → EBITDA 必定亏损 −2,032 万。</w:t>
      </w:r>
    </w:p>
    <w:p>
      <w:pPr>
        <w:ind w:firstLine="420"/>
      </w:pPr>
      <w:r>
        <w:rPr>
          <w:rFonts w:ascii="Calibri" w:hAnsi="Calibri" w:eastAsia="WenQuanYi Micro Hei"/>
          <w:b/>
          <w:i w:val="0"/>
          <w:color w:val="2FA36F"/>
          <w:sz w:val="22"/>
        </w:rPr>
        <w:t>加上这两项 + 冠名 + 政策 + 基金合计 3,400 万，Y3 EBITDA 才能转正 +1,368 万。</w:t>
      </w:r>
    </w:p>
    <w:p>
      <w:pPr>
        <w:ind w:firstLine="420"/>
      </w:pPr>
      <w:r>
        <w:rPr>
          <w:rFonts w:ascii="Calibri" w:hAnsi="Calibri" w:eastAsia="WenQuanYi Micro Hei"/>
          <w:b/>
          <w:i w:val="0"/>
          <w:sz w:val="22"/>
        </w:rPr>
        <w:t>→ 这两项不是『锦上添花』，而是『项目能否赚钱』的决定性因子。</w:t>
      </w:r>
    </w:p>
    <w:p/>
    <w:p>
      <w:r>
        <w:rPr>
          <w:rFonts w:ascii="Calibri" w:hAnsi="Calibri" w:eastAsia="WenQuanYi Micro Hei"/>
          <w:b/>
          <w:i w:val="0"/>
          <w:color w:val="0F2D52"/>
          <w:sz w:val="30"/>
        </w:rPr>
        <w:t>二、服务平台佣金（Y3 600 万）· 议价权变现</w:t>
      </w:r>
    </w:p>
    <w:p>
      <w:r>
        <w:rPr>
          <w:rFonts w:ascii="Calibri" w:hAnsi="Calibri" w:eastAsia="WenQuanYi Micro Hei"/>
          <w:b/>
          <w:i w:val="0"/>
          <w:sz w:val="24"/>
        </w:rPr>
        <w:t>2.1 本质定义</w:t>
      </w:r>
    </w:p>
    <w:p>
      <w:pPr>
        <w:ind w:firstLine="420"/>
      </w:pPr>
      <w:r>
        <w:rPr>
          <w:rFonts w:ascii="Calibri" w:hAnsi="Calibri" w:eastAsia="WenQuanYi Micro Hei"/>
          <w:b w:val="0"/>
          <w:i/>
          <w:sz w:val="22"/>
        </w:rPr>
        <w:t>服务平台佣金 = 园区作为『智驾产业服务中台』，统一对接外部供应商，将服务转售给入驻企业（链主+生态），赚取的价差/分成佣金。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简单说：园区不是『卖楼』，而是把入驻企业聚合后的议价权变现，把服务以『团购价/集采价』分发，吃中间利差。</w:t>
      </w:r>
    </w:p>
    <w:p>
      <w:r>
        <w:rPr>
          <w:rFonts w:ascii="Calibri" w:hAnsi="Calibri" w:eastAsia="WenQuanYi Micro Hei"/>
          <w:b/>
          <w:i w:val="0"/>
          <w:sz w:val="24"/>
        </w:rPr>
        <w:t>2.2 Y3 600 万构成 · 6 大子项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子项</w:t>
            </w:r>
          </w:p>
        </w:tc>
        <w:tc>
          <w:tcPr>
            <w:tcW w:type="dxa" w:w="188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Y3 (万)</w:t>
            </w:r>
          </w:p>
        </w:tc>
        <w:tc>
          <w:tcPr>
            <w:tcW w:type="dxa" w:w="188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业务模式</w:t>
            </w:r>
          </w:p>
        </w:tc>
        <w:tc>
          <w:tcPr>
            <w:tcW w:type="dxa" w:w="188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关键合作方</w:t>
            </w:r>
          </w:p>
        </w:tc>
        <w:tc>
          <w:tcPr>
            <w:tcW w:type="dxa" w:w="188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抽成档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A. 算力服务转售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250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园区年采购 GPU 时长，按算力券分销吃价差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阿里云 / 华为云 / 上海超算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价差 8%–15%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B. 政府事务服务费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150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一企一策协调、牌照代办、L3/L4 试点推荐、人才落户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区投促办 / 市经信委 / 市公安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单项 5–20 万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C. 联合实验室分成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3F 联合实验室对外承接 Tier1 演示/联调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地平线 / 链主企业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出资比例分成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D. 招聘联运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60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高级研发岗位渠道分成 + 落户绿通服务费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光辉国际 / Robert Walters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单笔 8%–15%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E. 法务/IP/咨询分成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60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律所/会计师事务所驻点 · 按客户介绍分成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君合 / 方达 / 毕马威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单笔 5%–10%</w:t>
            </w:r>
          </w:p>
        </w:tc>
      </w:tr>
    </w:tbl>
    <w:p>
      <w:r>
        <w:rPr>
          <w:rFonts w:ascii="Calibri" w:hAnsi="Calibri" w:eastAsia="WenQuanYi Micro Hei"/>
          <w:b/>
          <w:i w:val="0"/>
          <w:sz w:val="24"/>
        </w:rPr>
        <w:t>2.3 三年爬坡逻辑</w:t>
      </w:r>
    </w:p>
    <w:p>
      <w:r>
        <w:rPr>
          <w:rFonts w:ascii="Calibri" w:hAnsi="Calibri" w:eastAsia="WenQuanYi Micro Hei"/>
          <w:b/>
          <w:i w:val="0"/>
          <w:sz w:val="22"/>
        </w:rPr>
        <w:t>Y1 (35% 入驻率) → 80 万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  └ 刚起步、链主未签约，主要靠政策代办与小规模算力券</w:t>
      </w:r>
    </w:p>
    <w:p>
      <w:r>
        <w:rPr>
          <w:rFonts w:ascii="Calibri" w:hAnsi="Calibri" w:eastAsia="WenQuanYi Micro Hei"/>
          <w:b/>
          <w:i w:val="0"/>
          <w:sz w:val="22"/>
        </w:rPr>
        <w:t>Y2 (70%) → 250 万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  └ 链主入驻 1 家、生态 9 家，算力 GMV 起量</w:t>
      </w:r>
    </w:p>
    <w:p>
      <w:r>
        <w:rPr>
          <w:rFonts w:ascii="Calibri" w:hAnsi="Calibri" w:eastAsia="WenQuanYi Micro Hei"/>
          <w:b/>
          <w:i w:val="0"/>
          <w:sz w:val="22"/>
        </w:rPr>
        <w:t>Y3 (92%) → 600 万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 xml:space="preserve">  └ 14 家入驻全负荷，3F 实验室对外服务起量</w:t>
      </w:r>
    </w:p>
    <w:p>
      <w:r>
        <w:rPr>
          <w:rFonts w:ascii="Calibri" w:hAnsi="Calibri" w:eastAsia="WenQuanYi Micro Hei"/>
          <w:b/>
          <w:i w:val="0"/>
          <w:sz w:val="24"/>
        </w:rPr>
        <w:t>2.4 商业模式特点</w:t>
      </w:r>
    </w:p>
    <w:p>
      <w:pPr>
        <w:pStyle w:val="ListBullet"/>
      </w:pPr>
      <w:r>
        <w:rPr>
          <w:rFonts w:ascii="Calibri" w:hAnsi="Calibri" w:eastAsia="WenQuanYi Micro Hei"/>
          <w:b w:val="0"/>
          <w:i w:val="0"/>
          <w:sz w:val="22"/>
        </w:rPr>
        <w:t>议价权变现：园区以『1 链主 + 14 家生态』的体量议价，单户企业拿不到这个价</w:t>
      </w:r>
    </w:p>
    <w:p>
      <w:pPr>
        <w:pStyle w:val="ListBullet"/>
      </w:pPr>
      <w:r>
        <w:rPr>
          <w:rFonts w:ascii="Calibri" w:hAnsi="Calibri" w:eastAsia="WenQuanYi Micro Hei"/>
          <w:b w:val="0"/>
          <w:i w:val="0"/>
          <w:sz w:val="22"/>
        </w:rPr>
        <w:t>边际成本低：1 个 IT/数据经理 + 1 个法务对接，年增量人力成本 ≤ 100 万</w:t>
      </w:r>
    </w:p>
    <w:p>
      <w:pPr>
        <w:pStyle w:val="ListBullet"/>
      </w:pPr>
      <w:r>
        <w:rPr>
          <w:rFonts w:ascii="Calibri" w:hAnsi="Calibri" w:eastAsia="WenQuanYi Micro Hei"/>
          <w:b w:val="0"/>
          <w:i w:val="0"/>
          <w:sz w:val="22"/>
        </w:rPr>
        <w:t>强生态依附：Y3 600 万中 70% 与入驻量直接挂钩</w:t>
      </w:r>
    </w:p>
    <w:p>
      <w:pPr>
        <w:pStyle w:val="ListBullet"/>
      </w:pPr>
      <w:r>
        <w:rPr>
          <w:rFonts w:ascii="Calibri" w:hAnsi="Calibri" w:eastAsia="WenQuanYi Micro Hei"/>
          <w:b w:val="0"/>
          <w:i w:val="0"/>
          <w:sz w:val="22"/>
        </w:rPr>
        <w:t>政策合规：政府事务代办不能跨越『代办』边界，不承诺审批结果，不收回扣</w:t>
      </w:r>
    </w:p>
    <w:p>
      <w:r>
        <w:rPr>
          <w:rFonts w:ascii="Calibri" w:hAnsi="Calibri" w:eastAsia="WenQuanYi Micro Hei"/>
          <w:b/>
          <w:i w:val="0"/>
          <w:sz w:val="24"/>
        </w:rPr>
        <w:t>2.5 实操路径 · 4 个里程碑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里程碑</w:t>
            </w:r>
          </w:p>
        </w:tc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时间</w:t>
            </w:r>
          </w:p>
        </w:tc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关键动作</w:t>
            </w:r>
          </w:p>
        </w:tc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负责人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M3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启动 + 3 个月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与 2–3 家算力供应商签框架协议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招商总监 + IT 经理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M5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启动 + 5 个月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D 栋驻点律所/会计师事务所签年度合作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BD 总监 + 法务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M8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启动 + 8 个月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3F 联合实验室开放，承接首批外部 Tier1 客户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运营总监 + 测试场协同主任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M12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启动 + 12 个月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服务平台 SOP 跑通，月度 GMV 突破 100 万元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项目总监</w:t>
            </w:r>
          </w:p>
        </w:tc>
      </w:tr>
    </w:tbl>
    <w:p>
      <w:r>
        <w:rPr>
          <w:rFonts w:ascii="Calibri" w:hAnsi="Calibri" w:eastAsia="WenQuanYi Micro Hei"/>
          <w:b/>
          <w:i w:val="0"/>
          <w:sz w:val="24"/>
        </w:rPr>
        <w:t>2.6 风险与对冲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风险</w:t>
            </w:r>
          </w:p>
        </w:tc>
        <w:tc>
          <w:tcPr>
            <w:tcW w:type="dxa" w:w="4703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对冲手段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单一供应商绑架（如阿里云涨价）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同时签 2–3 家供应商，每家不超过 40%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GMV 不达预期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Y1 保守预估（80 万 = 入驻率 × 同业基准），Y3 才到 600 万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政府代办合规边界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法务月度审查 + 不承诺审批结果 + 收费明码标价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客户挑战『为什么不直接找供应商』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服务包价 ≤ 直采价 95% + 1 对 1 服务体验差异化</w:t>
            </w:r>
          </w:p>
        </w:tc>
      </w:tr>
    </w:tbl>
    <w:p/>
    <w:p>
      <w:r>
        <w:rPr>
          <w:rFonts w:ascii="Calibri" w:hAnsi="Calibri" w:eastAsia="WenQuanYi Micro Hei"/>
          <w:b/>
          <w:i w:val="0"/>
          <w:color w:val="0F2D52"/>
          <w:sz w:val="30"/>
        </w:rPr>
        <w:t>三、后市场协同分成（Y3 300 万）· 冠松独家壁垒</w:t>
      </w:r>
    </w:p>
    <w:p>
      <w:r>
        <w:rPr>
          <w:rFonts w:ascii="Calibri" w:hAnsi="Calibri" w:eastAsia="WenQuanYi Micro Hei"/>
          <w:b/>
          <w:i w:val="0"/>
          <w:sz w:val="24"/>
        </w:rPr>
        <w:t>3.1 本质定义</w:t>
      </w:r>
    </w:p>
    <w:p>
      <w:pPr>
        <w:ind w:firstLine="420"/>
      </w:pPr>
      <w:r>
        <w:rPr>
          <w:rFonts w:ascii="Calibri" w:hAnsi="Calibri" w:eastAsia="WenQuanYi Micro Hei"/>
          <w:b w:val="0"/>
          <w:i/>
          <w:sz w:val="22"/>
        </w:rPr>
        <w:t>后市场协同分成 = 冠松集团的汽车后市场资源（4S/保险/二手车/融资租赁/车队等）与园区企业的智驾产品/数据进行商业化协同，产生的协同收入分成。</w:t>
      </w:r>
    </w:p>
    <w:p>
      <w:pPr>
        <w:ind w:firstLine="420"/>
      </w:pPr>
      <w:r>
        <w:rPr>
          <w:rFonts w:ascii="Calibri" w:hAnsi="Calibri" w:eastAsia="WenQuanYi Micro Hei"/>
          <w:b/>
          <w:i w:val="0"/>
          <w:color w:val="C9A24A"/>
          <w:sz w:val="22"/>
        </w:rPr>
        <w:t>★ 这是除冠松外无法复制的独家壁垒。其他园区即使复制了『独栋 + 政策』，也复制不了冠松集团 30+ 年汽车后市场积累的真实数据/牌照/网点资源。</w:t>
      </w:r>
    </w:p>
    <w:p>
      <w:r>
        <w:rPr>
          <w:rFonts w:ascii="Calibri" w:hAnsi="Calibri" w:eastAsia="WenQuanYi Micro Hei"/>
          <w:b/>
          <w:i w:val="0"/>
          <w:sz w:val="24"/>
        </w:rPr>
        <w:t>3.2 冠松集团 6 大可协同资源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资源</w:t>
            </w:r>
          </w:p>
        </w:tc>
        <w:tc>
          <w:tcPr>
            <w:tcW w:type="dxa" w:w="3135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规模</w:t>
            </w:r>
          </w:p>
        </w:tc>
        <w:tc>
          <w:tcPr>
            <w:tcW w:type="dxa" w:w="3135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对智驾的价值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① 4S 经销网络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华东 60+ 网点 · 鸿蒙智行/主流品牌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真实事故/维修/智驾故障数据自然产生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② 保险事业部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智驾保险 / 定损 / 理赔大数据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智驾保险产品需要的专家定损能力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③ 二手智驾车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检测 / 翻新 / 流通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残值评估 / 智驾包激活流转数据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④ 融资租赁子公司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汽车融资租赁牌照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测试车队融资利率比市场低 1.5–2%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⑤ 冠松车队（试运营）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现役 100+ 车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真实上海典型场景数据采集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⑥ 冠松产业基金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战投部 + 5 亿规模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LP/GP 双模式 + 跟投权 + 资源捆绑</w:t>
            </w:r>
          </w:p>
        </w:tc>
      </w:tr>
    </w:tbl>
    <w:p>
      <w:r>
        <w:rPr>
          <w:rFonts w:ascii="Calibri" w:hAnsi="Calibri" w:eastAsia="WenQuanYi Micro Hei"/>
          <w:b/>
          <w:i w:val="0"/>
          <w:sz w:val="24"/>
        </w:rPr>
        <w:t>3.3 Y3 300 万构成 · 6 大子项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子项</w:t>
            </w:r>
          </w:p>
        </w:tc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Y3 (万)</w:t>
            </w:r>
          </w:p>
        </w:tc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业务模式</w:t>
            </w:r>
          </w:p>
        </w:tc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与谁分成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A. 数据闭环分成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4S 真实事故/维修/智驾数据脱敏后通过数交所沙盒订阅给链主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园区合规撮合方 · 抽 10–15%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B. 保险定损协同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智驾事故/NCAP 保险产品 · 冠松定损 + 园区算法 = 联合保险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与平安/人保/太保分成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C. 二手智驾车认证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智驾包激活流转 + 残值评估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园区认证中台抽成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D. 测试车队融资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链主测试车队（50–200 辆/家）冠松融资租赁提供融资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撮合 + 冠松内部分成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E. 冠松车队数据采集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30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冠松营运车队改装为数据采集车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与链主直接分成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F. 体验店流量分成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1F 大堂智驾后市场体验店 · 园区企业产品分销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抽成 GMV</w:t>
            </w:r>
          </w:p>
        </w:tc>
      </w:tr>
    </w:tbl>
    <w:p>
      <w:r>
        <w:rPr>
          <w:rFonts w:ascii="Calibri" w:hAnsi="Calibri" w:eastAsia="WenQuanYi Micro Hei"/>
          <w:b/>
          <w:i w:val="0"/>
          <w:sz w:val="24"/>
        </w:rPr>
        <w:t>3.4 四道护城河（不可复制壁垒）</w:t>
      </w:r>
    </w:p>
    <w:p>
      <w:pPr>
        <w:pStyle w:val="ListBullet"/>
      </w:pPr>
      <w:r>
        <w:rPr>
          <w:rFonts w:ascii="Calibri" w:hAnsi="Calibri" w:eastAsia="WenQuanYi Micro Hei"/>
          <w:b w:val="0"/>
          <w:i w:val="0"/>
          <w:sz w:val="22"/>
        </w:rPr>
        <w:t>数据真实性壁垒：4S 网络真实数据自然产生，竞争对手买不到、造不出</w:t>
      </w:r>
    </w:p>
    <w:p>
      <w:pPr>
        <w:pStyle w:val="ListBullet"/>
      </w:pPr>
      <w:r>
        <w:rPr>
          <w:rFonts w:ascii="Calibri" w:hAnsi="Calibri" w:eastAsia="WenQuanYi Micro Hei"/>
          <w:b w:val="0"/>
          <w:i w:val="0"/>
          <w:sz w:val="22"/>
        </w:rPr>
        <w:t>保险牌照壁垒：智驾保险定损依赖于持牌保险经纪/公估机构合作，冠松已具备</w:t>
      </w:r>
    </w:p>
    <w:p>
      <w:pPr>
        <w:pStyle w:val="ListBullet"/>
      </w:pPr>
      <w:r>
        <w:rPr>
          <w:rFonts w:ascii="Calibri" w:hAnsi="Calibri" w:eastAsia="WenQuanYi Micro Hei"/>
          <w:b w:val="0"/>
          <w:i w:val="0"/>
          <w:sz w:val="22"/>
        </w:rPr>
        <w:t>资金成本壁垒：冠松融资租赁子公司利率比市场低 1.5–2%</w:t>
      </w:r>
    </w:p>
    <w:p>
      <w:pPr>
        <w:pStyle w:val="ListBullet"/>
      </w:pPr>
      <w:r>
        <w:rPr>
          <w:rFonts w:ascii="Calibri" w:hAnsi="Calibri" w:eastAsia="WenQuanYi Micro Hei"/>
          <w:b w:val="0"/>
          <w:i w:val="0"/>
          <w:sz w:val="22"/>
        </w:rPr>
        <w:t>数据合规壁垒：通过上海数交所合规沙盒处理过的数据 = 链主能合规使用，对外资链主（华为/百度/SHEIN 等）极为关键</w:t>
      </w:r>
    </w:p>
    <w:p>
      <w:r>
        <w:rPr>
          <w:rFonts w:ascii="Calibri" w:hAnsi="Calibri" w:eastAsia="WenQuanYi Micro Hei"/>
          <w:b/>
          <w:i w:val="0"/>
          <w:sz w:val="24"/>
        </w:rPr>
        <w:t>3.5 实操路径 · 5 个里程碑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里程碑</w:t>
            </w:r>
          </w:p>
        </w:tc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时间</w:t>
            </w:r>
          </w:p>
        </w:tc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关键动作</w:t>
            </w:r>
          </w:p>
        </w:tc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负责人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M2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启动 + 2 个月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与冠松集团各子公司签《资源协同框架协议》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集团董事长 + 法务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M4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启动 + 4 个月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与上海数交所对接，建立脱敏数据合规沙盒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GR 总监 + 法务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M6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启动 + 6 个月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第一笔数据订阅订单（建议从地平线/Momenta 试点）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项目总监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M9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启动 + 9 个月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与平安/人保/太保至少 1 家签订智驾保险定损合作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BD 总监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M12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启动 + 12 个月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完成首个链主测试车队的融资租赁交付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项目总监</w:t>
            </w:r>
          </w:p>
        </w:tc>
      </w:tr>
    </w:tbl>
    <w:p>
      <w:r>
        <w:rPr>
          <w:rFonts w:ascii="Calibri" w:hAnsi="Calibri" w:eastAsia="WenQuanYi Micro Hei"/>
          <w:b/>
          <w:i w:val="0"/>
          <w:sz w:val="24"/>
        </w:rPr>
        <w:t>3.6 风险与对冲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风险</w:t>
            </w:r>
          </w:p>
        </w:tc>
        <w:tc>
          <w:tcPr>
            <w:tcW w:type="dxa" w:w="4703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对冲手段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冠松集团子公司不愿『真协同』（怕利益冲突）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M2 框架协议落地，写入子公司 KPI 考核；财务模型保守按『内部转移定价 + 10% 让利』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数据合规出问题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100% 通过上海数交所沙盒；4S 数据脱敏后处理；法务年框 + 内审 SOP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保险产品监管不批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双轨：直接保险定损分成 + 间接数据服务合作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链主不付费订阅数据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M6 试点期：先免费给地平线，换其推荐 + 联名背书；M9 起转付费</w:t>
            </w:r>
          </w:p>
        </w:tc>
      </w:tr>
    </w:tbl>
    <w:p/>
    <w:p>
      <w:r>
        <w:rPr>
          <w:rFonts w:ascii="Calibri" w:hAnsi="Calibri" w:eastAsia="WenQuanYi Micro Hei"/>
          <w:b/>
          <w:i w:val="0"/>
          <w:color w:val="0F2D52"/>
          <w:sz w:val="30"/>
        </w:rPr>
        <w:t>四、汇报应答口径（投决会 + 政府汇报）</w:t>
      </w:r>
    </w:p>
    <w:p>
      <w:r>
        <w:rPr>
          <w:rFonts w:ascii="Calibri" w:hAnsi="Calibri" w:eastAsia="WenQuanYi Micro Hei"/>
          <w:b/>
          <w:i w:val="0"/>
          <w:sz w:val="24"/>
        </w:rPr>
        <w:t>Q1：服务平台 600 万 / 后市场 300 万 是怎么算出来的？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答：每项都有 5–6 个明确子项，每个子项有可计算的市场基准价：</w:t>
      </w:r>
    </w:p>
    <w:p>
      <w:pPr>
        <w:pStyle w:val="ListBullet"/>
      </w:pPr>
      <w:r>
        <w:rPr>
          <w:rFonts w:ascii="Calibri" w:hAnsi="Calibri" w:eastAsia="WenQuanYi Micro Hei"/>
          <w:b w:val="0"/>
          <w:i w:val="0"/>
          <w:sz w:val="22"/>
        </w:rPr>
        <w:t>服务平台 600 万：算力转售 250（年采购 3,000 万 × 8% 价差）+ 政府代办 150（30 家 × 5 万均价）+ 实验室 80（5 个项目 × 16 万）+ 招聘 60（20 个高级岗 × 3 万）+ 法务 60（30 家 × 2 万）</w:t>
      </w:r>
    </w:p>
    <w:p>
      <w:pPr>
        <w:pStyle w:val="ListBullet"/>
      </w:pPr>
      <w:r>
        <w:rPr>
          <w:rFonts w:ascii="Calibri" w:hAnsi="Calibri" w:eastAsia="WenQuanYi Micro Hei"/>
          <w:b w:val="0"/>
          <w:i w:val="0"/>
          <w:sz w:val="22"/>
        </w:rPr>
        <w:t>后市场 300 万：数据订阅 120（5 个链主级 × 24 万均价）+ 保险 80（与 1–2 家保司分成）+ 其他 100（C/D/E/F 累计）</w:t>
      </w:r>
    </w:p>
    <w:p>
      <w:r>
        <w:rPr>
          <w:rFonts w:ascii="Calibri" w:hAnsi="Calibri" w:eastAsia="WenQuanYi Micro Hei"/>
          <w:b/>
          <w:i w:val="0"/>
          <w:sz w:val="24"/>
        </w:rPr>
        <w:t>Q2：万一冠松集团内部协同推不动？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答：写入 v1.2 的合作协议 Word 中（《资源协同框架协议》），且我们的财务模型保守按『内部转移定价 + 10% 让利』测算。即使冠松内部协同效率打 70% 折扣，后市场分成 Y3 仍能达到 210 万（300 × 70%），影响整体 EBITDA 仅 −90 万。</w:t>
      </w:r>
    </w:p>
    <w:p>
      <w:r>
        <w:rPr>
          <w:rFonts w:ascii="Calibri" w:hAnsi="Calibri" w:eastAsia="WenQuanYi Micro Hei"/>
          <w:b/>
          <w:i w:val="0"/>
          <w:sz w:val="24"/>
        </w:rPr>
        <w:t>Q3：数据合规是不是定时炸弹？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答：① 100% 通过上海数交所合规沙盒处理，零原始数据外流；② 法务年框 + 月度审查 + 客户分级；③ 外资链主（如华为/百度/外资 ADAS）使用单独通道；④ 若新法规出台，72 小时内启动暂停 SOP。</w:t>
      </w:r>
    </w:p>
    <w:p/>
    <w:p>
      <w:r>
        <w:rPr>
          <w:rFonts w:ascii="Calibri" w:hAnsi="Calibri" w:eastAsia="WenQuanYi Micro Hei"/>
          <w:b/>
          <w:i w:val="0"/>
          <w:color w:val="0F2D52"/>
          <w:sz w:val="30"/>
        </w:rPr>
        <w:t>五、产业园非租金收入占比对标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园区</w:t>
            </w:r>
          </w:p>
        </w:tc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非租金占比</w:t>
            </w:r>
          </w:p>
        </w:tc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构成</w:t>
            </w:r>
          </w:p>
        </w:tc>
        <w:tc>
          <w:tcPr>
            <w:tcW w:type="dxa" w:w="2351"/>
            <w:shd w:fill="0F2D52"/>
          </w:tcPr>
          <w:p>
            <w:r/>
            <w:r>
              <w:rPr>
                <w:rFonts w:ascii="Calibri" w:hAnsi="Calibri" w:eastAsia="WenQuanYi Micro Hei"/>
                <w:b/>
                <w:i w:val="0"/>
                <w:color w:val="FFFFFF"/>
                <w:sz w:val="22"/>
              </w:rPr>
              <w:t>备注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张江集成电路设计园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~25%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IC IP 分成 + 共享 EDA + 测试服务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头部产业园样板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北京中关村智造大街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~18%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技术服务 + 孵化分成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上海大零号湾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~20%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高校转化分成 + 服务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杭州梦想小镇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~30%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含基金管理费 + 投资收益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★ GS · iDrive Hub 目标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24% (Y3 1,400/5,748)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服务+冠名+后市场+基金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WenQuanYi Micro Hei"/>
                <w:b w:val="0"/>
                <w:i w:val="0"/>
                <w:sz w:val="20"/>
              </w:rPr>
              <w:t>在头部产业园合理区间</w:t>
            </w:r>
          </w:p>
        </w:tc>
      </w:tr>
    </w:tbl>
    <w:p>
      <w:r>
        <w:rPr>
          <w:rFonts w:ascii="Calibri" w:hAnsi="Calibri" w:eastAsia="WenQuanYi Micro Hei"/>
          <w:b/>
          <w:i w:val="0"/>
          <w:color w:val="1F6FEB"/>
          <w:sz w:val="26"/>
        </w:rPr>
        <w:t>结论</w:t>
      </w:r>
    </w:p>
    <w:p>
      <w:pPr>
        <w:ind w:firstLine="420"/>
      </w:pPr>
      <w:r>
        <w:rPr>
          <w:rFonts w:ascii="Calibri" w:hAnsi="Calibri" w:eastAsia="WenQuanYi Micro Hei"/>
          <w:b/>
          <w:i w:val="0"/>
          <w:color w:val="2FA36F"/>
          <w:sz w:val="22"/>
        </w:rPr>
        <w:t>GS · iDrive Hub 的非租金收入目标 24% 处于头部产业园合理区间，且依托『冠松后市场独家壁垒』+ 『智驾产业链中台议价权』两条不可复制路径，可信度高于纯文创/纯科技园区类同行。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WenQuanYi Micro 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