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交通事故完整经过说明（供受托律师阅卷）</w:t>
      </w:r>
    </w:p>
    <w:p>
      <w:pPr>
        <w:spacing w:after="160" w:before="0" w:line="312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青岛市市北区抚顺路批发市场 · 货运三轮 × 美团女骑手 · 截至 2026-08-19</w:t>
      </w:r>
    </w:p>
    <w:p>
      <w:pPr>
        <w:spacing w:after="200" w:before="0" w:line="360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本文仅供受托律师了解案情、查看监控和决定程序。不是律师函，不要发给骑手、站点、保险公司或刘孝春。现阶段不请诉讼律师当面谈、不先发函。</w:t>
      </w:r>
    </w:p>
    <w:p>
      <w:pPr>
        <w:spacing w:after="160" w:before="16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请律师先做这几件事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请先调看或复制市北区交警已调取的事故监控，再决定走简易程序还是一般程序。家属不自己拍板。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同意任何责任比例或在认定书上签字前，请书面或微信给出意见。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请评估一般程序可能带来的无牌上路风险。驾驶人有驾驶资格证书，内部留复印件；不要主动把驾驶证交给一般程序扩查。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请指导固定用工证据和 3 万元垫付收据的性质表述。现在不必发函。触发条件见文末。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现阶段请不要对外报总赔偿数额或残级。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一、文书性质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本稿根据 2026 年 8 月 14 日至 19 日就医记录、齐鲁医院已审核云影像三份 CT、市北区交警口头说明，以及伤者家属胡继刚 8 月 19 日书面确认的待确认事项整理。录音转写（得到大脑 17 份合集）只作内部线索，不等于事故认定书、病历、保险条款或鉴定意见。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伤者姓名对外写胡某。齐鲁转写曾出现 33 床「胡志远」，用工老板转写曾作「刘小春」。对外材料一律以身份证、病历首页、微信实名为准。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二、当事人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伤者：胡某，男，64 岁，已退休。事发时受雇于乔刘记商贸，为刘孝春卸货搬运，驾驶/使用刘家货运三轮车。交警口头认定该三轮属机动车。仅有抚顺路批发市场内部牌，无青岛市机动车号牌。驾驶人具备驾驶资格证书。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家属对接人：胡继刚（儿子，自上海返回处理）。岳父为执业律师，目前仅场外把关，不到场、不署名发函。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对方：女性美团外卖骑手，驾驶黄色二轮电动自行车。交警称其配偶亦送外卖、育有两子，个人偿付能力有限。8 月 17 日约定加其 1866 开头微信，等保险客服。对方车辆无交强险、无商业三者险，理赔入口是美团平台险。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交警：青岛市市北区交警，对接人称陈师傅。双方车辆已扣至交警停车场。监控已调取。书面事故认定书截至 2026-08-19 尚未出具。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用工方：乔刘记商贸，负责人刘孝春。伤者事发时的雇佣老板，三轮车实际所有人或管理人。雇佣关系，未签劳动合同。已垫付现金 3 万元。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三、完整经过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14 日（周五），胡某在青岛市市北区抚顺路批发市场为刘孝春家卸货搬运。具体钟点以接处警记录和认定书为准。地点经家属确认：抚顺路批发市场，抚顺路与哈尔滨路交叉口，主要在抚顺路路口。录音中的红枫路汽车市场、福生批发市场、服装批发市场斜坡、抚松路等称呼一律停用，仍以认定书正式路名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当日胡某卸完第一趟货物后，驾驶该货运三轮回场装第二趟。车辆贴护栏上坡，准备左拐去下方装货，再往楼上运送。因护栏开口（家属 8 月 18 日称哈尔滨路一侧 1 号门出口斜坡护栏开口），须先向上、向右借道调整，再作大弧度左拐掉头。同日口述称双方当时都往上走，不是一对一下坡对冲；是否如此，以监控为准。该三轮左转向灯失灵，另有口述大灯亦坏。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掉头过程中，后方一辆黄色美团二轮电动自行车与三轮发生碰撞。三轮侧翻，脚踏板压在胡某右脚上，致右下肢受伤。交警称监控视频能看清过程；家属称监控可能看不清护栏。护栏开口可以向交警说明掉头动作的来源，但不能据此主张对方全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伤者当日送山东大学齐鲁医院（青岛）急诊骨科。2026-08-14 已审核 CT（检查号 10008056847）记载：右侧胫骨远端、腓骨近端骨质不连续，断端移位；踝关节对位不良，胫距关节间隙增宽，构成半脱位；距骨内缘、外踝撕脱性骨折；右小腿及踝关节软组织肿胀。同日右足 CT（检查号 10008056848）记载右足组成骨完整、诸关节在位，未见本次外伤性骨折；跟骨骨刺、退变、第一跖骨头囊变属陈旧/退变，不计入本次事故。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15 日，胡某在齐鲁医院手足与显微重建外科接受右踝关节骨折内外固定术。同日住院 CT（检查号 10008059257）复查：内外固定在位，位线可，周围软组织仍肿。内固定根数、植入物清单以手术记录为准，不以通话口述的两根或四根为准。当日部分通话曾说「已出院回家」，与同日住院 CT 矛盾，以病历为准。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15 日至 16 日，家属内部一度按「对方全责」沟通，并与骑手电话联系。骑手表示书面责任认定尚未出具，需等待交警调取监控并由公司、保险处理。家属要求建立多方微信群，对骑手未探望表示不满。早期「交警已定全责」的说法，已被 8 月 17 日交警根据监控作出的口头分析否定，不得再对外使用。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17 日，市北区交警陈师傅根据监控向家属说明：任何一方全责均已排除；可能结果为双方同等责任，或外卖骑手主责、三轮次责。交警指出三轮一方问题包括：可能被认定机动车但无青岛市正式号牌、左转向灯失灵、掉头时先向右再向左形成大弧度。交警指出骑手一方问题包括：未与前车保持足够安全距离；处于后方、视野更清楚，有条件提前规避。交警介绍简易程序与一般程序，并曾建议优先协商走简易。交警明确其职责是认定事故责任，不负责决定赔偿金额；认定书出具后交警不再参与赔多少钱。两车已扣。监控已调取。书面认定书仍未出具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同日，因齐鲁医院床位周转，院方将患者转至联合体公立二甲青岛市市北区人民医院（抚顺路院区）。转院前须先完成齐鲁出院结算，人民医院才能办理入院；33 床出院记录由戴老师补打后即可交给人民医院，不必单独盖章；结余去一楼收费窗口原路退。转院救护车实收 160 元，须发票。8 月 15 日术后至 17 日仅两天，CT 仍写软组织肿胀，不是康复期。主治赛主任态度强硬，明确不愿交通事故患者长期占床。家属最关心的是二甲后续费用美团平台险是否认可。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8 月 17 日下午，骑手称已打保险客服、尚未回信，约定加 1866 开头微信。对方是外卖电动车，认定书上未必印传统车险公司电话。须向骑手、站点索取美团平台险承保公司、保单号、报案号、限额及书面赔付比例。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2026 年 8 月 19 日，家属书面确认：认定书尚未出具；地点为抚顺路批发市场、抚顺路与哈尔滨路交叉口；驾驶人有驾驶资格证书；平台是美团，保单待骑手拉群；市北区人民医院费用可以赔、比例待定，口径为二级以上公立医院、医保范围内用药可以；用工单位乔刘记商贸、负责人刘孝春、雇佣未签劳动合同、不具备工伤认定条件，已垫付现金 3 万元；费用口径另确认 4 万元，须用发票与 3 万垫付分清；简易或一般程序由律师看完监控和车辆材料后确定。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截至本稿，伤者人已到市北区人民医院。住院号、齐鲁出院结算是否办完、保险书面比例，仍须核实。伤者目前不能下地、不能独自如厕，按不能自理处理，应请医院合作一对一 24 小时护工（合同加发票）。伤残鉴定尚未进行，现在不能报残级。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四、伤情（以齐鲁已审核 CT 为准）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计入本次事故的损伤：右侧胫骨远端骨折（移位）、右侧腓骨近端骨折（移位）、右踝关节半脱位、右距骨内缘撕脱性骨折、右外踝撕脱性骨折、右小腿及踝关节软组织肿胀；2026-08-15 已行内外固定，复查固定在位、位线可，软组织仍肿。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不计入本次事故：右足组成骨完整；跟骨骨刺、退变、第一跖骨头囊变。通话中「右脚后跟粉碎性骨折」「只是腓骨下段骨折」均与报告不符，对外必须改口。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云影像报告注明仅供临床医生参考、不作证明。三份 CT 是影像诊断，不是伤残鉴定书。评残须治疗终结后由有资质司法鉴定机构按道路交通事故标准（实务多用《人体损伤致残程度分级》）评定。不要用人社局工伤标准，不要按网上计算器报价。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五、责任与程序现状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书面事故认定书尚未出具。交警依据监控排除任何一方全责。可能同等，或外卖主责、三轮次责。过错的规范表述以认定书为准。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交警认定通常只划分三轮使用人胡某与美团骑手之间的过错，不会把刘孝春写成替骑手担责。无牌、灯坏、掉头动作，仍可能记在三轮这一方。家属内部「驾驶人 0 责、刘孝春把 30% 全包」「骑手 70%、用工方 30%」仅为讨论，不是交警或法院结论。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简易程序不审车辆手续和驾驶资质，出认定书较快，便于保险理赔。一般程序可能扣车鉴定、审查号牌和驾驶资格，周期较长。无青岛市号牌在一般程序中仍有风险。驾驶人有证，无证驾驶风险已下降。程序选择请律师看监控和车辆后决定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六、就医、保险与费用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首诊及手术在山东大学齐鲁医院（青岛）三甲。后转市北区人民医院（抚顺路院区）公立二甲。转院类沟通大量重复，核心只三点：先完成原医院结算；确认新医院能否正常入院；向实际承保公司书面确认二甲医院的赔付资格和比例。不要另找其他三甲碰运气。医保能报不等于美团险能报。口头「可以赔」不等于书面比例已定，不能按全额报销花钱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平台是美团。承保公司、保单号、限额、书面赔付比例待骑手拉群确认。没有交强险，没有「先无责垫 1.8 万医疗」这一套。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费用：家属确认口径 4 万元，须发票逐笔核清，不能再对外报 3.5 万或 7 万。刘孝春垫付现金 3 万元是另一笔，须收据写明：垫付医疗费，不是借款，不是一次性了结交通事故，不冲抵未结工钱，不代美团赔偿。未结工钱口述约 5000 元，另写欠条，不乘责任比例。转院救护车 160 元须发票。病区串台出现的蒋玉年、26 床、8000 元不是本案。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七、用工关系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家属确认：雇佣关系，未签劳动合同，不具备工伤认定条件。不要去人社局报工伤。核实用工关系、车辆归属、工资结算和事故当日工作任务，是为可能的工伤或用工责任留证，不是现在启动工伤认定。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雇员受害仍可主张，不必等法院先确认雇佣或劳务法律关系。有乔刘记商贸派活、车是刘的、人在卸货、有工钱或欠薪，即可考虑民法典第 1192 条（个人劳务）和第 1209 条（转让、交付机动车的所有人、管理人过错）。刘孝春没有义务承担美团骑手责任范围内赔不够的部分；可主张的是己方缺口里与其车主过错、接受劳务过错相当的部分。未结工钱 100% 由刘支付。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八、请律师重点审查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第一，监控：事故编号、调取回执、律师查看或复制的时间。护栏开口在画面中是否可辨。两车速度、跟车距离、转向灯是否点亮。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第二，程序：看完监控和内部牌、灯坏情况后，明确建议简易或一般。无牌风险是否大到必须回避一般程序。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第三，认定书：预计出具日；收到后核实地名、身份、过错描述、责任比例。不服则指导复核，不要当场情绪化拒签。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第四，保险：指导如何向骑手、站点书面要保单和人民医院赔付比例，避免只打口头电话。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第五，用工书面：3 万收据和 5000 欠条的表述。现在不发律师函。触发后再议：超过 3 天无保险对接人；保险拒赔或书面不认必要医院又拒绝协调；骑手失联并拒绝拉群；有人逼签总包或放弃评残；认定书后 15 天无实质进展；需要评残或起诉。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九、不得写入对外函件或向对方陈述的内容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不要写对方全责、已经几级伤残、右脚后跟粉碎性骨折、已经康复、总赔偿数额或一次性了结。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不要写叉车、孙总是老板、驾驶人个人 0 责、刘孝春替美团补 70%。不要把记录 16 远洋工伤九级、25 万至 30 万当成本案。不要把 3D 示范动画当证据。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现阶段不谈总赔偿数额。费用还在发生，等认定书和治疗稳定、鉴定条件成熟后再按票计算交通事故赔偿，以及雇员受害、车主过错请求。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十、现有材料与仍缺文件</w:t>
      </w:r>
    </w:p>
    <w:p>
      <w:pPr>
        <w:spacing w:after="80" w:before="0" w:line="360" w:lineRule="auto"/>
        <w:jc w:val="left"/>
      </w:pPr>
      <w:r>
        <w:rPr>
          <w:rFonts w:ascii="宋体" w:hAnsi="宋体" w:eastAsia="宋体" w:cs="宋体"/>
          <w:b/>
          <w:sz w:val="24"/>
        </w:rPr>
        <w:t>已经可以交给律师的：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齐鲁医院云影像三份已审核 CT（10008056847 右小腿、10008056848 右足、10008059257 术后右踝）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沟通记录合集（2026-08-15 至 18 日，17 份转写）及口径对照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家属 2026-08-19 对 14 条待确认事项的书面答复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交警口头：监控已调、两车已扣、排除全责；书面认定书未出</w:t>
      </w:r>
    </w:p>
    <w:p>
      <w:pPr>
        <w:spacing w:after="80" w:before="160" w:line="360" w:lineRule="auto"/>
        <w:jc w:val="left"/>
      </w:pPr>
      <w:r>
        <w:rPr>
          <w:rFonts w:ascii="宋体" w:hAnsi="宋体" w:eastAsia="宋体" w:cs="宋体"/>
          <w:b/>
          <w:sz w:val="24"/>
        </w:rPr>
        <w:t>请指导家属尽快补齐的：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事故编号、监控调取/查看回执或复制件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书面事故认定书（预计出具日）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齐鲁出院结算、33 床出院记录、人民医院住院号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手术记录、植入物清单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美团平台险：承保公司、保单号、报案号、限额、人民医院书面赔付比例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费用发票台账（核清 4 万元），与刘孝春垫付 3 万元收据分清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3 万元垫付收据（性质：垫付不是借款、不是了结）及约 5000 元欠薪书面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内部牌、转向灯损坏、护栏开口现场照片；驾驶证复印件仅内部留存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护工一对一 24 小时合同及发票</w:t>
      </w:r>
    </w:p>
    <w:p>
      <w:pPr>
        <w:spacing w:after="120" w:before="240" w:line="360" w:lineRule="auto"/>
        <w:jc w:val="left"/>
      </w:pPr>
      <w:r>
        <w:rPr>
          <w:rFonts w:ascii="宋体" w:hAnsi="宋体" w:eastAsia="宋体" w:cs="宋体"/>
          <w:b w:val="0"/>
          <w:color w:val="5C6B7A"/>
          <w:sz w:val="21"/>
        </w:rPr>
        <w:t>本文根据 2026 年 8 月 14–19 日材料整理。重新生成：python3 scripts/build_all.py。3D 示范动画留作待用，不是证据。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