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产业招商 · 城市更新 · 智能制造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  ｜  IELTS 6.0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p>
      <w:pPr>
        <w:spacing w:before="12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求职意向　产业招商 / 城市更新 / 智能制造 / 产业空间运营 / 出海对接　　上海　薪资面议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2026 已签约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四宗产业合作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公开活动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主办 / 主持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土木本科、复旦 MBA。万科上海区域投资副总经理。2011–2021 一线投拓，做成国资合作、政府代建、不良盘活、轻资产委管与物流园，证明能把结构做成。2021 年起任复旦大学住房政策研究中心秘书长，以杨浦科企联执行会长对接企业、招商与出海。2026 年已签约产业合作按负责 / 推动 / 辅助 / 方案拟定落笔：写委托与协同，不写入驻名单。一线投资计至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2026 已签约产业合作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已签约的是定位与招商委托，不是入驻清单。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做什么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创智汇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负责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AI 与 IP 定位招商；辅助向智造、出海、人工智能转型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6600㎡ · 杨浦五角场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东方枢纽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推动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与产业方对接，促成联动招商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143 万㎡ 产业对接范围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华为汽车两园区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辅助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拿地—规划—定位—招商协同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静安约 1.5 万㎡、浦东约 2 万㎡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森马产业园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方案拟定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工业空间定位与招商方案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 万㎡ 签约切片</w:t>
            </w:r>
          </w:p>
        </w:tc>
      </w:tr>
    </w:tbl>
    <w:p>
      <w:pPr>
        <w:spacing w:before="80" w:after="40" w:line="269" w:lineRule="auto"/>
      </w:pPr>
      <w:r>
        <w:rPr>
          <w:rFonts w:ascii="微软雅黑" w:hAnsi="微软雅黑" w:eastAsia="微软雅黑"/>
          <w:b w:val="0"/>
          <w:color w:val="2C333A"/>
          <w:sz w:val="18"/>
        </w:rPr>
        <w:t>能力切片　AI 产业落地（创智汇定位招商 · 2026.05 主持商业化圆桌）｜出海对接（北欧会客厅 · 锦天城海外不动产）｜招商落地（2026 四宗委托 · 万科勾地代建收并购）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· 中心做研究；科企联做企业、招商、出海与项目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城市更新、存量资产与新质产业空间：关注产业如何用空间、政策、资本落地城市。产业方向，不是技术研发岗。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出海：2026.03 北欧创新国际会客厅共同发起，落户杨浦宝龙旭辉广场环创中心（宝龙商办不是雇主）；2024.06 主持锦天城「他山之石——中国投资者的海外不动产战略布局」。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产业活动：2025.05 全球新经济增长引擎峰会主办方代表发言，与竺劲、汪毅、王维军圆桌（人民网上海、中新社上海点名）；2026.05 人工智能商业化落地与硬核投资破局峰会主办方代表并主持圆桌（不是付费落地项目）。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 · 企业 / 招商 / 出海 / 项目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创始理事长 · 2018/2019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万㎡，配建安置房）。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 + 印力委管（约 15 亿元 / 556 亩 / 购物中心约 7 万方，苏中县市首家印象城）；金坛理想城收并购 + 债务重组，底价获取（约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主导落地万纬嘉兴平湖（嘉兴首个高标准自动化冷链园）、上海奉贤南桥冷链园；推动进入盐城、台州、常州金坛。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推进美国养老、日本永旺等国际产业合作对接（推进中，非已签约落地）。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代建落地，配建安置房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 · 苏中县市首家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/ 收购改造 · 嘉兴首个高标准冷链园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债务重组，底价获取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如皋世纪城 / 苏州中南锦苑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早期拓展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勾地获取；江阴白鹭湾同股同权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中南阶段代表项目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副教授级高级工程师；会计师中级；PMP；住建委项目管理工程师；IELTS 6.0；普通话一级甲等；BIM；上海市人才引进认证资质。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论文《万科物流地产平台业务发展战略研究》（知网）；《房屋建筑工程人工智能技术的应用》（《住宅与房地产》）。实用新型专利 2 项（建筑工程管理用功能脚架、防护围栏）。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研修：上海交通大学城市治理数字化转型高级研修班；复旦–花旗银行实践课程；复旦–怡安人力与风险管理。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投递方向：产业招商 · 城市更新 · 智能制造 · 产业空间运营 · 出海对接。能力：投资拓展 → 政企招商 → 产业组织 → 智库与资源配置。研究方向：AI 产业如何落地城市。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