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微软雅黑" w:hAnsi="微软雅黑" w:eastAsia="微软雅黑"/>
          <w:b/>
          <w:color w:val="142C5E"/>
          <w:sz w:val="44"/>
        </w:rPr>
        <w:t>元谷项目 4#+5# 楼约 2 万方产业研发办公</w:t>
      </w:r>
      <w:r>
        <w:br/>
      </w:r>
      <w:r>
        <w:rPr>
          <w:rFonts w:ascii="微软雅黑" w:hAnsi="微软雅黑" w:eastAsia="微软雅黑"/>
          <w:b/>
          <w:color w:val="142C5E"/>
          <w:sz w:val="44"/>
        </w:rPr>
        <w:t>专 项 招 商 运 营 合 作 协 议(草案)</w:t>
      </w:r>
    </w:p>
    <w:p>
      <w:pPr>
        <w:jc w:val="center"/>
      </w:pPr>
      <w:r>
        <w:rPr>
          <w:rFonts w:ascii="微软雅黑" w:hAnsi="微软雅黑" w:eastAsia="微软雅黑"/>
          <w:b w:val="0"/>
          <w:color w:val="55607A"/>
          <w:sz w:val="24"/>
        </w:rPr>
        <w:t>Buildings 4 &amp; 5 Industry R&amp;D Office Leasing &amp; Operation Cooperation Agreement (Draft)</w:t>
      </w:r>
    </w:p>
    <w:p>
      <w:pPr>
        <w:spacing w:before="720"/>
        <w:jc w:val="center"/>
      </w:pPr>
      <w:r>
        <w:rPr>
          <w:rFonts w:ascii="微软雅黑" w:hAnsi="微软雅黑" w:eastAsia="微软雅黑"/>
          <w:b w:val="0"/>
          <w:sz w:val="24"/>
        </w:rPr>
        <w:t>项目名称:森马(上海)国际运营中心 元谷项目</w:t>
      </w:r>
      <w:r>
        <w:br/>
      </w:r>
      <w:r>
        <w:rPr>
          <w:rFonts w:ascii="微软雅黑" w:hAnsi="微软雅黑" w:eastAsia="微软雅黑"/>
          <w:b w:val="0"/>
          <w:sz w:val="24"/>
        </w:rPr>
        <w:t>业务范围:4# 楼 5F+ + 5# 楼 5F+ 共约 2 万㎡产业研发办公</w:t>
      </w:r>
      <w:r>
        <w:br/>
      </w:r>
      <w:r>
        <w:rPr>
          <w:rFonts w:ascii="微软雅黑" w:hAnsi="微软雅黑" w:eastAsia="微软雅黑"/>
          <w:b w:val="0"/>
          <w:sz w:val="24"/>
        </w:rPr>
        <w:t>协议版本:v1.0  ·  起草方:胡教授团队</w:t>
      </w:r>
      <w:r>
        <w:br/>
      </w:r>
      <w:r>
        <w:rPr>
          <w:rFonts w:ascii="微软雅黑" w:hAnsi="微软雅黑" w:eastAsia="微软雅黑"/>
          <w:b w:val="0"/>
          <w:sz w:val="24"/>
        </w:rPr>
        <w:t>签署日期:__________ 年 ____ 月 ____ 日</w:t>
      </w:r>
      <w:r>
        <w:br/>
      </w:r>
    </w:p>
    <w:p>
      <w:pPr>
        <w:spacing w:before="800"/>
        <w:jc w:val="center"/>
      </w:pPr>
      <w:r>
        <w:rPr>
          <w:rFonts w:ascii="微软雅黑" w:hAnsi="微软雅黑" w:eastAsia="微软雅黑"/>
          <w:b w:val="0"/>
          <w:color w:val="993333"/>
          <w:sz w:val="20"/>
        </w:rPr>
        <w:t>本协议为商务谈判草案,不构成法律约束力,最终以双方法务确认并签署的正式文本为准。</w:t>
      </w:r>
    </w:p>
    <w:p>
      <w:r>
        <w:br w:type="page"/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缔约方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甲方(委托方/业主方):森马集团股份有限公司(以下简称"甲方"或"森马")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 xml:space="preserve">    住所地:__________ ; 统一社会信用代码:__________ ; 法定代表人:__________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乙方(招商运营服务方):__________ (以下简称"乙方"或"胡教授团队")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 xml:space="preserve">    住所地:__________ ; 统一社会信用代码:__________ ; 法定代表人:胡教授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鉴于: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(1)　甲方为元谷项目(位于上海市闵行区元江路-剑川路地区中心,"大零号湾"文创融合核心区)的资产持有方与品牌方,项目总建面约 22 万㎡, 商业建面约 5.2 万㎡;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(2)　本协议项下"项目范围"特指元谷项目 4# 楼 5F 及以上潮玩产业集群 (约 1 万㎡) 与 5# 楼 5F 及以上潮玩产业集群 (约 1 万㎡), 合计约 2 万㎡产业研发办公空间(以下简称"项目范围");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(3)　乙方在产业招商、政府关系、文创活动 IP 及高端学术资源方面拥有可投入的稀缺资源,包括但不限于:北欧创新国际会客厅、福布斯系列奖项、科技开放麦、AI 腾讯生态、仲量联行爬楼大数据(已实际投入采购成本人民币 26,000 元)、追觅科技基金、复旦大学住房政策研究中心、上海市科技企业联合会等;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(4)　甲方拟将项目范围内的招商运营业务委托乙方独家承担, 双方就此达成如下协议: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第一条　业务范围与定位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1.1　业务范围(招商运营独家委托):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(a)　元谷项目 4# 楼 5F 及以上潮玩产业集群约 1 万㎡;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(b)　元谷项目 5# 楼 5F 及以上潮玩产业集群约 1 万㎡;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(c)　合计约 2 万㎡产业研发办公空间。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1.2　业务定位:双方一致将项目范围打造为 "AI 潮玩产业基地 — 长三角首个 AI+潮玩 双牌照产业策源高地", 配套设施包括: 4F 直播中心、4# 楼 5F AI 共享设计中心、4# 楼 5F AI 共享打样及 DIY 中心、5# 楼 5F 潮玩产业展厅。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1.3　独家性:在本协议存续期内, 甲方授予乙方对项目范围的独家招商运营权 (不可撤销); 甲方不得就项目范围委托任何第三方招商运营机构。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1.4　客户画像 (与甲方原产业规划一致):10% 头部央企/行业协会 (3 家 × 2,000㎡); 10% 共享配套服务 (3 家 × 2,000㎡); 20% 中型潮玩运营企业 (4-6 家 × 5,000㎡); 20% 中小型潮业服务机构 (15 家 × 200-500㎡); 40% 小型潮玩运营企业 (30 家 × 200-500㎡)。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第二条　服务期限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2.1　本协议自双方签署之日起生效, 期限为 24 个月。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2.2　届满前 90 日, 双方可协商续期; 若 24 个月内项目范围招商出租率达到 90% 以上, 乙方有权要求按相同或更优条款续期 24 个月。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2.3　本协议另有解除条款约定外, 任何一方不得单方提前终止。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第三条　基础服务费 (月费 / Retainer)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3.1　人员配置约定:乙方按下列三档之一向项目范围派驻团队 (具体档位由双方在签署时勾选):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(a)　1 人轻配:产业招商经理 × 1 + CSO 顾问 (折半投入);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(b)　★ 2 人推荐配 (建议):产业招商经理 + 国际合作&amp;活动策划 + CSO 顾问 (全额投入);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(c)　3 人重配:招商 + 活动 + 基金投后&amp;政府关系 + CSO 顾问。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3.2　基础月费金额: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(a)　1 人轻配:人民币 6 万元/月;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(b)　★ 2 人推荐配:人民币 12 万元/月 (推荐选择);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(c)　3 人重配:人民币 18 万元/月。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3.3　支付节奏:每自然月 5 日前预付当月月费; 逾期支付的, 每逾期一日按当月月费的 0.05% 计违约金。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3.4　调整机制:经双方一致书面同意, 每 12 个月可对月费金额进行一次评审与调整。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3.5　基础月费覆盖范围:乙方派驻人员薪酬及绩效、CSO 顾问费、仲量联行爬楼大数据接口运维费、必要差旅与接待物料、月度管理协调费;不包含招商佣金、挂牌奖励、沙龙执行费及其他单项收费。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第四条　招商佣金 (1.5-2 个月年租金)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4.1　甲方同意:乙方每促成一份新签或续签的项目范围内租赁合同, 按下列阶梯向乙方支付招商佣金: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(a)　≤ 2,000㎡ 的小型租户:佣金 = 实际成交年租金 × 1.5 个月;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(b)　2,001-5,000㎡ 的中型租户:佣金 = 实际成交年租金 × 1.75 个月;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(c)　&gt; 5,000㎡ 的头部 / 央企 / 行业协会租户:佣金 = 实际成交年租金 × 2.0 个月。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4.2　返投基金加成:凡通过追觅科技基金或其他乙方导入的产业基金返投落地的租户, 前述基础佣金额外加成 0.25 个月。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4.3　结算节奏:自租赁合同签订且租户起租之日起 30 日内一次性支付; 合同中途解除的, 按已履约期限对应比例处理。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4.4　客户归属保护:在乙方向甲方提交的"招商客户名单"内的客户, 自该客户首次接触起 24 个月内成交的, 均视为乙方业绩; 甲方不得绕开乙方签约, 否则按本条 4.1 标准的 1.5 倍向乙方赔付。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第五条　挂牌奖励 (5 项, 一次性激励)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5.1　甲方同意:乙方主导促成下列任一挂牌正式落地的, 甲方向乙方一次性支付奖励人民币 30 万元/项: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(a)　"AI 潮玩产业基地" 牌照 (中国动漫集团);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(b)　"潮玩次元商业专委会" 牌照 (中国百货商业协会);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(c)　"复旦大学住房政策研究中心 · 元谷分中心" 挂牌;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(d)　"上海市科技企业联合会 · 元谷产业基地" 挂牌;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(e)　"福布斯产业影响力奖 · 元谷专场" 挂牌。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5.2　上限:5 项挂牌奖励合计上限为人民币 150 万元 (5 × 30 万); 续挂 (第 2 年起) 按 50% 收取, 即 15 万元/项。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5.3　结算节奏:自挂牌或获奖正式公告之日起 30 日内由甲方一次性支付。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5.4　附加奖项:除上述 5 项外, 若乙方促成其他省级及以上政府奖项 / 行业牌照落地, 双方可另行书面约定奖励金额。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第六条　产业沙龙执行 (6 场, 每场 ≥ 30 目标产业客户)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6.1　乙方承诺:于服务期内每 12 个月承办不少于 6 场产业沙龙 (合计不少于 12 场), 每场到场目标产业客户不少于 30 家 (以现场签到 + 闭环管理为准)。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6.2　六大主题 (首年):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(a)　#1 AI + 潮玩 跨界融合 (T+1 月, 借势 5/22 AI 商业化峰会);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(b)　#2 潮玩出海 (T+3 月, 北欧创新国际会客厅 + 福布斯);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(c)　#3 投融资路演 (T+5 月, 追觅 + 招商银行 + 长江证券 + 金浦);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(d)　#4 设计与创意 (T+7 月, 上海交大设计学院 + 上海市科企联);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(e)　#5 内容 IP 与 Z 世代 (T+9 月, 中百协潮玩次元专委 + 中国动漫集团);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(f)　#6 政策补贴与小镇 (T+11 月, 闵行科协 + 复旦住房政策研究中心)。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6.3　执行费:甲方按每场人民币 5 万元支付执行费 (覆盖场地、物料、嘉宾接待、传播), 6 场合计人民币 30 万元/年。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6.4　收入分润:沙龙赞助、票务、政府补贴等收入由乙方统一收取, 单场净利 (收入 - 执行成本) 按 甲方 30% / 乙方 70% 分润。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6.5　未达标处理:单场到场目标产业客户少于 30 家的, 当场执行费扣回 50%, 净利分润同步调整为 甲方 50% / 乙方 50%。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第七条　KPI 与业绩对赌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7.1　招商 KPI (累计签约面积):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(a)　T+6 月 ≥ 4,000㎡;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(b)　T+12 月 ≥ 10,000㎡ (4# 楼基本满租);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(c)　T+24 月 ≥ 18,000㎡ (4#+5# 楼 90% 满租视为达标)。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7.2　挂牌 KPI:T+12 月 ≥ 3 项 / T+24 月 ≥ 5 项。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7.3　沙龙 KPI:首年 ≥ 6 场, 每场 ≥ 30 目标产业客户。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7.4　对赌处理: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(a)　KPI 未达标的, 自达标偏差超过 20% 的次月起, 月费保留 50% 至达成时补足;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(b)　连续 6 个月未达标的, 甲方有权解除本协议, 乙方按已结算款返还 20%;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(c)　若 24 个月项目范围满租率 ≥ 95%, 甲方向乙方一次性支付奖励人民币 100 万元 (超额完成奖)。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第八条　资源承诺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8.1　甲方承诺: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(a)　在本协议生效后 60 日内向乙方开放项目范围的全部招商主导权及客户对接通道;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(b)　配合乙方完成 5 项挂牌的对接、文件、场地及森马品牌联合传播;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(c)　为乙方派驻团队提供项目范围内的免费办公空间 (建议 4# 楼 5F 设乙方运营室);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(d)　在森马集团及关联方资源范围内, 为乙方业务提供必要支持。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8.2　乙方承诺 (量化承诺, 列入考核):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(a)　本协议生效后 30 日内, 完成 2-3 人驻场战队就位;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(b)　90 日内将仲量联行爬楼大数据接入项目中台 (覆盖 ≥ 200 家目标客户);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(c)　90 日内挂牌 "AI 潮玩产业基地" + "潮玩次元商业专委会" 两项;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(d)　12 个月内完成 5 项挂牌 / 6 场沙龙 / 4# 楼基本满租 (≥ 10,000㎡);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(e)　协调 2026 年 5 月 22 日 "AI 商业化落地与硬核投资破局峰会" 资源, 为项目范围导入不少于 30 位 VIP 潜在客户。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第九条　知识产权与资源排他性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9.1　乙方就以下资源在项目范围内的使用, 授予甲方独家、可转授的使用权 (在协议存续期内):北欧创新国际会客厅 IP、科技开放麦 IP、福布斯系列奖项渠道、AI 腾讯导入合作、仲量联行爬楼大数据接入、追觅科技基金合作、复旦大学住房政策研究中心合作、上海市科技企业联合会合作。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9.2　上述资源的所有权仍归原权利人;合资公司或本协议解除的, 使用权同步解除。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9.3　甲方对外发布及营销中应同步标注上述资源贡献方信息, 不得擅自利用上述资源开展项目范围外的业务。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第十条　排他与竞业禁止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10.1　本协议存续期内, 双方不得直接或间接从事与本协议业务存在实质性竞争的活动;不得另行委托或受托从事元谷项目范围内的招商运营。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10.2　甲方在大零号湾区域内的其他自有商业项目, 需先以书面形式询价于乙方, 乙方在 30 日内未明示接受的, 甲方有权另行委托。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第十一条　退出与终止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11.1　本协议自然届满终止, 双方可协商续期。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11.2　解除事由: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(a)　甲方严重违约或未按约支付月费、佣金、挂牌奖励, 经书面催告 30 日仍未纠正的, 乙方有权解除;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(b)　乙方连续 6 个月 KPI 未达标的, 甲方有权解除;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(c)　不可抗力或政策重大变更导致项目范围无法开展招商的, 双方可协商解除。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11.3　解除后处理:已完成 KPI 对应的款项不予返还; 未完成部分按已履约比例处理。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第十二条　保密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12.1　双方就在本协议项下知悉的对方商业秘密、客户名单、技术信息、财务信息及未公开战略, 承担保密义务, 期限为本协议存续期间及解除/终止后 5 年。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第十三条　法律适用与争议解决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13.1　本协议适用中华人民共和国法律。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13.2　凡因本协议引起的争议, 双方应首先友好协商解决; 协商不成的, 提交上海国际经济贸易仲裁委员会 (上海国际仲裁中心) 按其届时有效的仲裁规则在上海仲裁。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第十四条　一般条款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14.1　本协议自双方法定代表人或授权代表签字并加盖公章之日起生效。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14.2　本协议一式四份, 双方各执两份, 具有同等法律效力。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14.3　本协议附件与正文具有同等法律效力。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14.4　本协议未尽事宜, 由双方另行书面约定。</w:t>
      </w:r>
    </w:p>
    <w:p>
      <w:r>
        <w:br w:type="page"/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签 署 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vAlign w:val="center"/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 w:val="0"/>
                <w:sz w:val="22"/>
              </w:rPr>
              <w:t>甲方:森马集团股份有限公司</w:t>
            </w:r>
          </w:p>
        </w:tc>
        <w:tc>
          <w:tcPr>
            <w:tcW w:type="dxa" w:w="4535"/>
            <w:vAlign w:val="center"/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 w:val="0"/>
                <w:sz w:val="22"/>
              </w:rPr>
              <w:t>乙方:__________(胡教授团队)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 w:val="0"/>
                <w:sz w:val="22"/>
              </w:rPr>
              <w:t>法定代表人/授权代表:__________</w:t>
            </w:r>
          </w:p>
        </w:tc>
        <w:tc>
          <w:tcPr>
            <w:tcW w:type="dxa" w:w="4535"/>
            <w:vAlign w:val="center"/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 w:val="0"/>
                <w:sz w:val="22"/>
              </w:rPr>
              <w:t>法定代表人/授权代表:__________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 w:val="0"/>
                <w:sz w:val="22"/>
              </w:rPr>
              <w:t>(盖章)　　　　　 日期:____ 年 ____ 月 ____ 日</w:t>
            </w:r>
          </w:p>
        </w:tc>
        <w:tc>
          <w:tcPr>
            <w:tcW w:type="dxa" w:w="4535"/>
            <w:vAlign w:val="center"/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 w:val="0"/>
                <w:sz w:val="22"/>
              </w:rPr>
              <w:t>(盖章)　　　　　 日期:____ 年 ____ 月 ____ 日</w:t>
            </w:r>
          </w:p>
        </w:tc>
      </w:tr>
    </w:tbl>
    <w:p>
      <w:r>
        <w:br w:type="page"/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附件一:项目范围与楼宇分工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4# 楼 5F 及以上潮玩产业集群 (约 1 万㎡) — 国际 IP 创意层, 与同栋 4F 直播中心 / 5F AI 共享设计中心 / 5F AI 共享打样 DIY 中心 联动;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5# 楼 5F 及以上潮玩产业集群 (约 1 万㎡) — 潮玩产业总部层, 与同栋 5F 潮玩产业展厅 / 1-4F 动漫书店 + 休闲娱乐 联动;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合计约 2 万㎡产业研发办公空间, 招商 / 续约 / 租户管理 / 退租 等业务全部由乙方独家承担。</w:t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附件二:商业条款速查表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· 基础月费:6 / 12 / 18 万元/月 (1/2/3 人配置, 推荐 2 人 = 12 万元/月)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· 招商佣金:1.5 / 1.75 / 2.0 个月年租金 (按面积阶梯), 返投基金客户额外 +0.25 个月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· 挂牌奖励:30 万元/项 × 5 项 = 上限 150 万元 (首年挂); 续挂 50% (15 万元/项)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· 沙龙执行费:5 万元/场 × 6 场 = 30 万元/年; 净利 30/70 分润 (甲/乙)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· 服务期限:24 个月 (首期); 续期由乙方优先选择权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· 超额奖励:24 月满租率 ≥ 95% → 一次性奖励 100 万元</w:t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附件三:5 项挂牌清单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① AI 潮玩产业基地 (中国动漫集团)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② 潮玩次元商业专委会 (中国百货商业协会)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③ 复旦大学住房政策研究中心 · 元谷分中心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④ 上海市科技企业联合会 · 元谷产业基地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⑤ 福布斯产业影响力奖 · 元谷专场</w:t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附件四:6 场产业沙龙清单 (首年)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#1 T+1 月  AI + 潮玩 跨界融合 (中动漫 + AI 腾讯; 借势 5/22 峰会次月)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#2 T+3 月  潮玩出海 (北欧创新国际会客厅 + 福布斯)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#3 T+5 月  投融资路演 (追觅 + 招商银行 + 长江证券 + 金浦)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#4 T+7 月  设计与创意 (上海交大设计学院 + 上海市科企联)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#5 T+9 月  内容 IP 与 Z 世代 (中百协潮玩次元专委 + 中动漫)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#6 T+11 月 政策补贴与小镇 (闵行科协 + 复旦住房政策研究中心)</w:t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附件五:合作收益测算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详见随附 Excel 文件 《4#5#楼合作收益测算表.xlsx》, 包括: 对甲方贡献 / 基础月费构成 / 招商佣金阶梯 / 挂牌奖励明细 / 6 场沙龙测算 / 24 月双向账本 + ROI / 招商客户管道 共 8 个 Sheet。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基础场景下: 乙方 24 个月结算金额合计约人民币 714 万元; 甲方 24 个月直接收入合计约人民币 2,769 万元; 投入产出比 ≈ 1 : 3.88。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