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12" w:lineRule="auto"/>
        <w:jc w:val="center"/>
      </w:pPr>
      <w:r>
        <w:rPr>
          <w:rFonts w:ascii="黑体" w:hAnsi="黑体" w:eastAsia="黑体" w:cs="黑体"/>
          <w:b/>
          <w:color w:val="0B2F5B"/>
          <w:sz w:val="36"/>
        </w:rPr>
        <w:t>交通事故完整经过说明（供受托律师阅卷）</w:t>
      </w:r>
    </w:p>
    <w:p>
      <w:pPr>
        <w:spacing w:after="160" w:before="0" w:line="312" w:lineRule="auto"/>
        <w:jc w:val="center"/>
      </w:pPr>
      <w:r>
        <w:rPr>
          <w:rFonts w:ascii="黑体" w:hAnsi="黑体" w:eastAsia="黑体" w:cs="黑体"/>
          <w:b w:val="0"/>
          <w:color w:val="5C6B7A"/>
          <w:sz w:val="22"/>
        </w:rPr>
        <w:t>青岛市市北区抚顺路批发市场 · 货运三轮 × 美团女骑手 · 截至 2026-08-19</w:t>
      </w:r>
    </w:p>
    <w:p>
      <w:pPr>
        <w:spacing w:after="200" w:before="0" w:line="360" w:lineRule="auto"/>
        <w:jc w:val="left"/>
      </w:pPr>
      <w:r>
        <w:rPr>
          <w:rFonts w:ascii="宋体" w:hAnsi="宋体" w:eastAsia="宋体" w:cs="宋体"/>
          <w:b/>
          <w:color w:val="A63D2F"/>
          <w:sz w:val="24"/>
        </w:rPr>
        <w:t>本文仅供受托律师了解案情、查看监控和决定程序。不是律师函，不要发给骑手、站点、保险公司或刘孝春。现阶段不请诉讼律师当面谈、不先发函。</w:t>
      </w:r>
    </w:p>
    <w:p>
      <w:pPr>
        <w:spacing w:after="160" w:before="16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请律师先做这几件事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请先调看或复制市北区交警已调取的事故监控，再决定走简易程序还是一般程序。家属不自己拍板。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同意任何责任比例或在认定书上签字前，请书面或微信给出意见。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请评估一般程序可能带来的无牌上路风险。驾驶人有驾驶资格证书，内部留复印件；不要主动把驾驶证交给一般程序扩查。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请指导固定用工证据和 3 万元垫付收据的性质表述。现在不必发函。触发条件见文末。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现阶段请不要对外报总赔偿数额或残级。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一、文书性质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本稿根据 2026 年 8 月 14 日至 19 日就医记录、齐鲁医院已审核云影像三份 CT、市北区交警口头说明，以及伤者家属胡继刚 8 月 19 日书面确认的待确认事项整理。录音转写（得到大脑 17 份合集）只作内部线索，不等于事故认定书、病历、保险条款或鉴定意见。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伤者姓名对外写胡某。齐鲁转写曾出现 33 床「胡志远」，用工老板转写曾作「刘小春」。对外材料一律以身份证、病历首页、微信实名为准。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二、当事人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伤者：胡某，男，64 岁，已退休。事发时受雇于乔刘记商贸，为刘孝春卸货搬运，驾驶/使用刘家货运三轮车。交警口头认定该三轮属机动车。仅有抚顺路批发市场内部牌，无青岛市机动车号牌。驾驶人具备驾驶资格证书。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家属对接人：胡继刚（儿子，自上海返回处理）。岳父为执业律师，目前仅场外把关，不到场、不署名发函。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对方：女性美团外卖骑手，驾驶黄色二轮电动自行车。交警称其配偶亦送外卖、育有两子，个人偿付能力有限。8 月 17 日约定加其 1866 开头微信，等保险客服。对方车辆无交强险、无商业三者险，理赔入口是美团平台险。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交警：青岛市市北区交警，对接人称陈师傅。双方车辆已扣至交警停车场。监控已调取。书面事故认定书截至 2026-08-19 尚未出具。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用工方：乔刘记商贸，负责人刘孝春。伤者事发时的雇佣老板，三轮车实际所有人或管理人。雇佣关系，未签劳动合同。已垫付现金 3 万元。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三、完整经过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2026 年 8 月 14 日（周五），胡某在青岛市市北区抚顺路批发市场为刘孝春家卸货搬运。具体钟点以接处警记录和认定书为准。地点经家属确认：抚顺路批发市场，抚顺路与哈尔滨路交叉口，主要在抚顺路路口。录音中的红枫路汽车市场、福生批发市场、服装批发市场斜坡、抚松路等称呼一律停用，仍以认定书正式路名为准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当日胡某卸完第一趟货物后，驾驶该货运三轮回场装第二趟。车辆贴护栏上坡，准备左拐去下方装货，再往楼上运送。因护栏开口（家属 8 月 18 日称哈尔滨路一侧 1 号门出口斜坡护栏开口），须先向上、向右借道调整，再作大弧度左拐掉头。同日口述称双方当时都往上走，不是一对一下坡对冲；是否如此，以监控为准。该三轮左转向灯失灵，另有口述大灯亦坏。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掉头过程中，后方一辆黄色美团二轮电动自行车与三轮发生碰撞。三轮侧翻，脚踏板压在胡某右脚上，致右下肢受伤。交警称监控视频能看清过程；家属称监控可能看不清护栏。护栏开口可以向交警说明掉头动作的来源，但不能据此主张对方全责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伤者当日送山东大学齐鲁医院（青岛）急诊骨科。2026-08-14 已审核 CT（检查号 10008056847）记载：右侧胫骨远端、腓骨近端骨质不连续，断端移位；踝关节对位不良，胫距关节间隙增宽，构成半脱位；距骨内缘、外踝撕脱性骨折；右小腿及踝关节软组织肿胀。同日右足 CT（检查号 10008056848）记载右足组成骨完整、诸关节在位，未见本次外伤性骨折；跟骨骨刺、退变、第一跖骨头囊变属陈旧/退变，不计入本次事故。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2026 年 8 月 15 日，胡某在齐鲁医院手足与显微重建外科接受右踝关节骨折内外固定术。同日住院 CT（检查号 10008059257）复查：内外固定在位，位线可，周围软组织仍肿。内固定根数、植入物清单以手术记录为准，不以通话口述的两根或四根为准。当日部分通话曾说「已出院回家」，与同日住院 CT 矛盾，以病历为准。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8 月 15 日至 16 日，家属内部一度按「对方全责」沟通，并与骑手电话联系。骑手表示书面责任认定尚未出具，需等待交警调取监控并由公司、保险处理。家属要求建立多方微信群，对骑手未探望表示不满。早期「交警已定全责」的说法，已被 8 月 17 日交警根据监控作出的口头分析否定，不得再对外使用。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2026 年 8 月 17 日，市北区交警陈师傅根据监控向家属说明：任何一方全责均已排除；可能结果为双方同等责任，或外卖骑手主责、三轮次责。交警指出三轮一方问题包括：可能被认定机动车但无青岛市正式号牌、左转向灯失灵、掉头时先向右再向左形成大弧度。交警指出骑手一方问题包括：未与前车保持足够安全距离；处于后方、视野更清楚，有条件提前规避。交警介绍简易程序与一般程序，并曾建议优先协商走简易。交警明确其职责是认定事故责任，不负责决定赔偿金额；认定书出具后交警不再参与赔多少钱。两车已扣。监控已调取。书面认定书仍未出具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同日，因齐鲁医院床位周转，院方将患者转至联合体公立二甲青岛市市北区人民医院（抚顺路院区）。转院前须先完成齐鲁出院结算，人民医院才能办理入院；33 床出院记录由戴老师补打后即可交给人民医院，不必单独盖章；结余去一楼收费窗口原路退。转院救护车实收 160 元，须发票。8 月 15 日术后至 17 日仅两天，CT 仍写软组织肿胀，不是康复期。主治赛主任态度强硬，明确不愿交通事故患者长期占床。家属最关心的是二甲后续费用美团平台险是否认可。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8 月 17 日下午，骑手称已打保险客服、尚未回信，约定加 1866 开头微信。对方是外卖电动车，认定书上未必印传统车险公司电话。须向骑手、站点索取美团平台险承保公司、保单号、报案号、限额及书面赔付比例。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2026 年 8 月 19 日，家属书面确认：认定书尚未出具；地点为抚顺路批发市场、抚顺路与哈尔滨路交叉口；驾驶人有驾驶资格证书；平台是美团，保单待骑手拉群；市北区人民医院费用可以赔、比例待定，口径为二级以上公立医院、医保范围内用药可以；用工单位乔刘记商贸、负责人刘孝春、雇佣未签劳动合同、不具备工伤认定条件，已垫付现金 3 万元；费用口径另确认 4 万元，须用发票与 3 万垫付分清；简易或一般程序由律师看完监控和车辆材料后确定。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截至本稿，伤者人已到市北区人民医院。住院号、齐鲁出院结算是否办完、保险书面比例，仍须核实。伤者目前不能下地、不能独自如厕，按不能自理处理，应请医院合作一对一 24 小时护工（合同加发票）。伤残鉴定尚未进行，现在不能报残级。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四、伤情（以齐鲁已审核 CT 为准）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计入本次事故的损伤：右侧胫骨远端骨折（移位）、右侧腓骨近端骨折（移位）、右踝关节半脱位、右距骨内缘撕脱性骨折、右外踝撕脱性骨折、右小腿及踝关节软组织肿胀；2026-08-15 已行内外固定，复查固定在位、位线可，软组织仍肿。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不计入本次事故：右足组成骨完整；跟骨骨刺、退变、第一跖骨头囊变。通话中「右脚后跟粉碎性骨折」「只是腓骨下段骨折」均与报告不符，对外必须改口。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云影像报告注明仅供临床医生参考、不作证明。三份 CT 是影像诊断，不是伤残鉴定书。评残须治疗终结后由有资质司法鉴定机构按道路交通事故标准（实务多用《人体损伤致残程度分级》）评定。不要用人社局工伤标准，不要按网上计算器报价。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五、责任与程序现状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书面事故认定书尚未出具。交警依据监控排除任何一方全责。可能同等，或外卖主责、三轮次责。过错的规范表述以认定书为准。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交警认定通常只划分三轮使用人胡某与美团骑手之间的过错，不会把刘孝春写成替骑手担责。无牌、灯坏、掉头动作，仍可能记在三轮这一方。家属内部「驾驶人 0 责、刘孝春把 30% 全包」「骑手 70%、用工方 30%」仅为讨论，不是交警或法院结论。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简易程序不审车辆手续和驾驶资质，出认定书较快，便于保险理赔。一般程序可能扣车鉴定、审查号牌和驾驶资格，周期较长。无青岛市号牌在一般程序中仍有风险。驾驶人有证，无证驾驶风险已下降。程序选择请律师看监控和车辆后决定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六、就医、保险与费用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首诊及手术在山东大学齐鲁医院（青岛）三甲。后转市北区人民医院（抚顺路院区）公立二甲。转院类沟通大量重复，核心只三点：先完成原医院结算；确认新医院能否正常入院；向实际承保公司书面确认二甲医院的赔付资格和比例。不要另找其他三甲碰运气。医保能报不等于美团险能报。口头「可以赔」不等于书面比例已定，不能按全额报销花钱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平台是美团。承保公司、保单号、限额、书面赔付比例待骑手拉群确认。没有交强险，没有「先无责垫 1.8 万医疗」这一套。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费用：家属确认口径 4 万元，须发票逐笔核清，不能再对外报 3.5 万或 7 万。刘孝春垫付现金 3 万元是另一笔，须收据写明：垫付医疗费，不是借款，不是一次性了结交通事故，不冲抵未结工钱，不代美团赔偿。未结工钱口述约 5000 元，另写欠条，不乘责任比例。转院救护车 160 元须发票。病区串台出现的蒋玉年、26 床、8000 元不是本案。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七、用工关系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家属确认：雇佣关系，未签劳动合同，不具备工伤认定条件。不要去人社局报工伤。核实用工关系、车辆归属、工资结算和事故当日工作任务，是为可能的工伤或用工责任留证，不是现在启动工伤认定。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雇员受害仍可主张，不必等法院先确认雇佣或劳务法律关系。有乔刘记商贸派活、车是刘的、人在卸货、有工钱或欠薪，即可考虑民法典第 1192 条（个人劳务）和第 1209 条（转让、交付机动车的所有人、管理人过错）。刘孝春没有义务承担美团骑手责任范围内赔不够的部分；可主张的是己方缺口里与其车主过错、接受劳务过错相当的部分。未结工钱 100% 由刘支付。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八、请律师重点审查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第一，监控：事故编号、调取回执、律师查看或复制的时间。护栏开口在画面中是否可辨。两车速度、跟车距离、转向灯是否点亮。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第二，程序：看完监控和内部牌、灯坏情况后，明确建议简易或一般。无牌风险是否大到必须回避一般程序。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第三，认定书：预计出具日；收到后核实地名、身份、过错描述、责任比例。不服则指导复核，不要当场情绪化拒签。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第四，保险：指导如何向骑手、站点书面要保单和人民医院赔付比例，避免只打口头电话。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第五，用工书面：3 万收据和 5000 欠条的表述。现在不发律师函。触发后再议：超过 3 天无保险对接人；保险拒赔或书面不认必要医院又拒绝协调；骑手失联并拒绝拉群；有人逼签总包或放弃评残；认定书后 15 天无实质进展；需要评残或起诉。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九、不得写入对外函件或向对方陈述的内容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不要写对方全责、已经几级伤残、右脚后跟粉碎性骨折、已经康复、总赔偿数额或一次性了结。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不要写叉车、孙总是老板、驾驶人个人 0 责、刘孝春替美团补 70%。不要把记录 16 远洋工伤九级、25 万至 30 万当成本案。不要把 3D 示范动画当证据。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现阶段不谈总赔偿数额。费用还在发生，等认定书和治疗稳定、鉴定条件成熟后再按票计算交通事故赔偿，以及雇员受害、车主过错请求。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十、现有材料与仍缺文件</w:t>
      </w:r>
    </w:p>
    <w:p>
      <w:pPr>
        <w:spacing w:after="80" w:before="0" w:line="360" w:lineRule="auto"/>
        <w:jc w:val="left"/>
      </w:pPr>
      <w:r>
        <w:rPr>
          <w:rFonts w:ascii="宋体" w:hAnsi="宋体" w:eastAsia="宋体" w:cs="宋体"/>
          <w:b/>
          <w:sz w:val="24"/>
        </w:rPr>
        <w:t>已经可以交给律师的：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齐鲁医院云影像三份已审核 CT（10008056847 右小腿、10008056848 右足、10008059257 术后右踝）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沟通记录合集（2026-08-15 至 18 日，17 份转写）及口径对照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家属 2026-08-19 对 14 条待确认事项的书面答复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交警口头：监控已调、两车已扣、排除全责；书面认定书未出</w:t>
      </w:r>
    </w:p>
    <w:p>
      <w:pPr>
        <w:spacing w:after="80" w:before="160" w:line="360" w:lineRule="auto"/>
        <w:jc w:val="left"/>
      </w:pPr>
      <w:r>
        <w:rPr>
          <w:rFonts w:ascii="宋体" w:hAnsi="宋体" w:eastAsia="宋体" w:cs="宋体"/>
          <w:b/>
          <w:sz w:val="24"/>
        </w:rPr>
        <w:t>请指导家属尽快补齐的：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事故编号、监控调取/查看回执或复制件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书面事故认定书（预计出具日）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齐鲁出院结算、33 床出院记录、人民医院住院号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手术记录、植入物清单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美团平台险：承保公司、保单号、报案号、限额、人民医院书面赔付比例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费用发票台账（核清 4 万元），与刘孝春垫付 3 万元收据分清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3 万元垫付收据（性质：垫付不是借款、不是了结）及约 5000 元欠薪书面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内部牌、转向灯损坏、护栏开口现场照片；驾驶证复印件仅内部留存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护工一对一 24 小时合同及发票</w:t>
      </w:r>
    </w:p>
    <w:p>
      <w:pPr>
        <w:spacing w:after="120" w:before="240" w:line="360" w:lineRule="auto"/>
        <w:jc w:val="left"/>
      </w:pPr>
      <w:r>
        <w:rPr>
          <w:rFonts w:ascii="宋体" w:hAnsi="宋体" w:eastAsia="宋体" w:cs="宋体"/>
          <w:b w:val="0"/>
          <w:color w:val="5C6B7A"/>
          <w:sz w:val="21"/>
        </w:rPr>
        <w:t>本文根据 2026 年 8 月 14–19 日材料整理。重新生成：python3 scripts/build_all.py。3D 示范动画留作待用，不是证据。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