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11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本周：先打通齐鲁出院和人民医院入院；二甲能不能报问保险公司，不听朋友一句定。</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青岛市北区红枫路汽车市场外抚顺路（正规市政道路，批发市场附近）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伤者骑三轮车准备掉头，后方美团二轮电动车碰撞，三轮侧翻。交警称视频能看清过程。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三轮车交警认定为机动车，未悬挂正规机动车号牌（批发市场自制内部牌，家属记得 2588，交警不认可）</w:t>
      </w:r>
    </w:p>
    <w:p>
      <w:pPr>
        <w:spacing w:after="60" w:before="0" w:line="336" w:lineRule="auto"/>
        <w:ind w:firstLine="210"/>
        <w:jc w:val="left"/>
      </w:pPr>
      <w:r>
        <w:rPr>
          <w:rFonts w:ascii="宋体" w:hAnsi="宋体" w:eastAsia="宋体" w:cs="宋体"/>
          <w:b w:val="0"/>
          <w:sz w:val="24"/>
        </w:rPr>
        <w:t>• 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0" w:line="360" w:lineRule="auto"/>
        <w:ind w:firstLine="420"/>
        <w:jc w:val="left"/>
      </w:pPr>
      <w:r>
        <w:rPr>
          <w:rFonts w:ascii="宋体" w:hAnsi="宋体" w:eastAsia="宋体" w:cs="宋体"/>
          <w:b w:val="0"/>
          <w:sz w:val="24"/>
        </w:rPr>
        <w:t>8 月 15 日通话还提到伤者事发时在为货主干活、雇主在场，可能同时存在雇佣/工伤线索。是否另案主张，由律师看劳动关系证据后决定，不要和交通事故赔偿混成一笔糊涂账。</w:t>
      </w: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当天办齐鲁出院结算（带齐证件、押金票），再办人民医院入院</w:t>
            </w:r>
          </w:p>
        </w:tc>
        <w:tc>
          <w:tcPr>
            <w:tcW w:type="dxa" w:w="2986"/>
          </w:tcPr>
          <w:p>
            <w:pPr>
              <w:spacing w:after="40" w:before="40" w:line="276" w:lineRule="auto"/>
            </w:pPr>
            <w:r/>
            <w:r>
              <w:rPr>
                <w:rFonts w:ascii="宋体" w:hAnsi="宋体" w:eastAsia="宋体" w:cs="宋体"/>
                <w:b w:val="0"/>
                <w:sz w:val="21"/>
              </w:rPr>
              <w:t>人已到二甲但无入院身份，治疗空窗最危险</w:t>
            </w:r>
          </w:p>
        </w:tc>
      </w:tr>
      <w:tr>
        <w:tc>
          <w:tcPr>
            <w:tcW w:type="dxa" w:w="2986"/>
            <w:shd w:fill="F3F6FA" w:val="clear"/>
          </w:tcPr>
          <w:p>
            <w:pPr>
              <w:spacing w:after="40" w:before="40" w:line="276" w:lineRule="auto"/>
            </w:pPr>
            <w:r/>
            <w:r>
              <w:rPr>
                <w:rFonts w:ascii="宋体" w:hAnsi="宋体" w:eastAsia="宋体" w:cs="宋体"/>
                <w:b w:val="0"/>
                <w:sz w:val="21"/>
              </w:rPr>
              <w:t>家属+交警+骑手</w:t>
            </w:r>
          </w:p>
        </w:tc>
        <w:tc>
          <w:tcPr>
            <w:tcW w:type="dxa" w:w="2986"/>
            <w:shd w:fill="F3F6FA" w:val="clear"/>
          </w:tcPr>
          <w:p>
            <w:pPr>
              <w:spacing w:after="40" w:before="40" w:line="276" w:lineRule="auto"/>
            </w:pPr>
            <w:r/>
            <w:r>
              <w:rPr>
                <w:rFonts w:ascii="宋体" w:hAnsi="宋体" w:eastAsia="宋体" w:cs="宋体"/>
                <w:b w:val="0"/>
                <w:sz w:val="21"/>
              </w:rPr>
              <w:t>要美团平台险电话（不是交强险公司），报医院全称问：市北区人民医院费用能否理赔</w:t>
            </w:r>
          </w:p>
        </w:tc>
        <w:tc>
          <w:tcPr>
            <w:tcW w:type="dxa" w:w="2986"/>
            <w:shd w:fill="F3F6FA" w:val="clear"/>
          </w:tcPr>
          <w:p>
            <w:pPr>
              <w:spacing w:after="40" w:before="40" w:line="276" w:lineRule="auto"/>
            </w:pPr>
            <w:r/>
            <w:r>
              <w:rPr>
                <w:rFonts w:ascii="宋体" w:hAnsi="宋体" w:eastAsia="宋体" w:cs="宋体"/>
                <w:b w:val="0"/>
                <w:sz w:val="21"/>
              </w:rPr>
              <w:t>外卖电动车没有交强险；认定单上未必有人保/平安</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患者是交通事故伤者。请先协助办完齐鲁出院结算，再办人民医院入院，不要人在床上没有住院号。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同场录音补充：医保≠美团险；术后两天不是康复期；认定单上未必有传统车险公司</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