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before="0"/>
        <w:jc w:val="center"/>
      </w:pPr>
      <w:r>
        <w:rPr>
          <w:rFonts w:ascii="微软雅黑" w:hAnsi="微软雅黑" w:eastAsia="微软雅黑"/>
          <w:b/>
          <w:color w:val="1A6B6B"/>
          <w:sz w:val="28"/>
        </w:rPr>
        <w:t>考察交流策划案</w:t>
      </w:r>
    </w:p>
    <w:p>
      <w:pPr>
        <w:spacing w:after="240" w:before="0"/>
        <w:jc w:val="center"/>
      </w:pPr>
      <w:r>
        <w:rPr>
          <w:rFonts w:ascii="微软雅黑" w:hAnsi="微软雅黑" w:eastAsia="微软雅黑"/>
          <w:b/>
          <w:color w:val="0B3D5C"/>
          <w:sz w:val="44"/>
        </w:rPr>
        <w:t>赴宁波港及宁波经济技术开发区考察交流策划案</w:t>
      </w:r>
    </w:p>
    <w:p>
      <w:pPr>
        <w:spacing w:after="560" w:before="0"/>
        <w:jc w:val="center"/>
      </w:pPr>
      <w:r>
        <w:rPr>
          <w:rFonts w:ascii="微软雅黑" w:hAnsi="微软雅黑" w:eastAsia="微软雅黑"/>
          <w:b w:val="0"/>
          <w:color w:val="5A636E"/>
          <w:sz w:val="26"/>
        </w:rPr>
        <w:t>招商引资 · 科技孵化 · 产业导入 · PE/VC · CVC 投洽合作</w:t>
      </w:r>
    </w:p>
    <w:p>
      <w:pPr>
        <w:spacing w:after="800" w:before="0"/>
        <w:jc w:val="center"/>
      </w:pPr>
      <w:r>
        <w:rPr>
          <w:rFonts w:ascii="微软雅黑" w:hAnsi="微软雅黑" w:eastAsia="微软雅黑"/>
          <w:b w:val="0"/>
          <w:color w:val="1A6B6B"/>
          <w:sz w:val="22"/>
        </w:rPr>
        <w:t>考察交流 · 投促对接 · 长效合作  ·  V1.0</w:t>
      </w:r>
    </w:p>
    <w:p/>
    <w:p/>
    <w:p/>
    <w:p>
      <w:pPr>
        <w:spacing w:after="160" w:before="0"/>
        <w:jc w:val="center"/>
      </w:pPr>
      <w:r>
        <w:rPr>
          <w:rFonts w:ascii="微软雅黑" w:hAnsi="微软雅黑" w:eastAsia="微软雅黑"/>
          <w:b/>
          <w:sz w:val="25"/>
        </w:rPr>
        <w:t>组织方：复旦大学住房政策研究中心 · 上海市杨浦区科技企业联合会</w:t>
      </w:r>
    </w:p>
    <w:p>
      <w:pPr>
        <w:spacing w:after="160" w:before="0"/>
        <w:jc w:val="center"/>
      </w:pPr>
      <w:r>
        <w:rPr>
          <w:rFonts w:ascii="微软雅黑" w:hAnsi="微软雅黑" w:eastAsia="微软雅黑"/>
          <w:b/>
          <w:color w:val="0B3D5C"/>
          <w:sz w:val="25"/>
        </w:rPr>
        <w:t>提交对象：宁波经济技术开发区投资促进局</w:t>
      </w:r>
    </w:p>
    <w:p>
      <w:pPr>
        <w:spacing w:after="160" w:before="0"/>
        <w:jc w:val="center"/>
      </w:pPr>
      <w:r>
        <w:rPr>
          <w:rFonts w:ascii="微软雅黑" w:hAnsi="微软雅黑" w:eastAsia="微软雅黑"/>
          <w:b w:val="0"/>
          <w:sz w:val="24"/>
        </w:rPr>
        <w:t>考察人员：复旦大学校友及上海市科技企业家</w:t>
      </w:r>
    </w:p>
    <w:p>
      <w:pPr>
        <w:spacing w:after="160" w:before="0"/>
        <w:jc w:val="center"/>
      </w:pPr>
      <w:r>
        <w:rPr>
          <w:rFonts w:ascii="微软雅黑" w:hAnsi="微软雅黑" w:eastAsia="微软雅黑"/>
          <w:b w:val="0"/>
          <w:color w:val="5A636E"/>
          <w:sz w:val="24"/>
        </w:rPr>
        <w:t>2026年7月</w:t>
      </w:r>
    </w:p>
    <w:p>
      <w:r>
        <w:br w:type="page"/>
      </w:r>
    </w:p>
    <w:p>
      <w:pPr>
        <w:spacing w:before="280" w:after="160"/>
      </w:pPr>
      <w:r>
        <w:rPr>
          <w:rFonts w:ascii="微软雅黑" w:hAnsi="微软雅黑" w:eastAsia="微软雅黑"/>
          <w:b/>
          <w:color w:val="0B3D5C"/>
          <w:sz w:val="32"/>
        </w:rPr>
        <w:t>一、项目背景与目的</w:t>
      </w:r>
    </w:p>
    <w:p>
      <w:pPr>
        <w:spacing w:before="200" w:after="160"/>
      </w:pPr>
      <w:r>
        <w:rPr>
          <w:rFonts w:ascii="微软雅黑" w:hAnsi="微软雅黑" w:eastAsia="微软雅黑"/>
          <w:b/>
          <w:color w:val="0B3D5C"/>
          <w:sz w:val="27"/>
        </w:rPr>
        <w:t>1.1 背景</w:t>
      </w:r>
    </w:p>
    <w:p>
      <w:pPr>
        <w:spacing w:after="160" w:before="0"/>
        <w:ind w:firstLine="440"/>
      </w:pPr>
      <w:r>
        <w:rPr>
          <w:rFonts w:ascii="微软雅黑" w:hAnsi="微软雅黑" w:eastAsia="微软雅黑"/>
          <w:b w:val="0"/>
          <w:sz w:val="23"/>
        </w:rPr>
        <w:t>复旦大学住房政策研究中心与上海市杨浦区科技企业联合会长期服务上海及长三角科技企业、校友企业家与产业投资机构，持续开展政产学研协同、产业考察与投促对接。</w:t>
      </w:r>
    </w:p>
    <w:p>
      <w:pPr>
        <w:spacing w:after="160" w:before="0"/>
        <w:ind w:firstLine="440"/>
      </w:pPr>
      <w:r>
        <w:rPr>
          <w:rFonts w:ascii="微软雅黑" w:hAnsi="微软雅黑" w:eastAsia="微软雅黑"/>
          <w:b w:val="0"/>
          <w:sz w:val="23"/>
        </w:rPr>
        <w:t>宁波港是全球重要枢纽港，宁波经济技术开发区产业基础扎实、开放优势突出，在先进制造、临港产业、新材料、数字经济与科技孵化等方面具备显著吸引力。</w:t>
      </w:r>
    </w:p>
    <w:p>
      <w:pPr>
        <w:spacing w:after="160" w:before="0"/>
        <w:ind w:firstLine="440"/>
      </w:pPr>
      <w:r>
        <w:rPr>
          <w:rFonts w:ascii="微软雅黑" w:hAnsi="微软雅黑" w:eastAsia="微软雅黑"/>
          <w:b w:val="0"/>
          <w:sz w:val="23"/>
        </w:rPr>
        <w:t>为深化沪甬产业协同与资源互通，拟组织复旦校友及上海市科技企业家赴宁波港及当地特色企业开展参访与投促交流，推动招商引资、科技孵化、产业导入与资本对接落地。</w:t>
      </w:r>
    </w:p>
    <w:p>
      <w:pPr>
        <w:spacing w:before="200" w:after="160"/>
      </w:pPr>
      <w:r>
        <w:rPr>
          <w:rFonts w:ascii="微软雅黑" w:hAnsi="微软雅黑" w:eastAsia="微软雅黑"/>
          <w:b/>
          <w:color w:val="0B3D5C"/>
          <w:sz w:val="27"/>
        </w:rPr>
        <w:t>1.2 考察目的</w:t>
      </w:r>
    </w:p>
    <w:p>
      <w:pPr>
        <w:pStyle w:val="ListBullet"/>
        <w:spacing w:after="60"/>
      </w:pPr>
      <w:r>
        <w:rPr>
          <w:rFonts w:ascii="微软雅黑" w:hAnsi="微软雅黑" w:eastAsia="微软雅黑"/>
          <w:color w:val="222A33"/>
          <w:sz w:val="23"/>
        </w:rPr>
        <w:t>实地了解宁波港枢纽能力、临港产业生态及开发区招商政策与载体资源。</w:t>
      </w:r>
    </w:p>
    <w:p>
      <w:pPr>
        <w:pStyle w:val="ListBullet"/>
        <w:spacing w:after="60"/>
      </w:pPr>
      <w:r>
        <w:rPr>
          <w:rFonts w:ascii="微软雅黑" w:hAnsi="微软雅黑" w:eastAsia="微软雅黑"/>
          <w:color w:val="222A33"/>
          <w:sz w:val="23"/>
        </w:rPr>
        <w:t>组织复旦校友与上海科技企业家与当地特色企业、园区、投促机构面对面交流。</w:t>
      </w:r>
    </w:p>
    <w:p>
      <w:pPr>
        <w:pStyle w:val="ListBullet"/>
        <w:spacing w:after="60"/>
      </w:pPr>
      <w:r>
        <w:rPr>
          <w:rFonts w:ascii="微软雅黑" w:hAnsi="微软雅黑" w:eastAsia="微软雅黑"/>
          <w:color w:val="222A33"/>
          <w:sz w:val="23"/>
        </w:rPr>
        <w:t>围绕招商引资、科技孵化、产业导入、PE/VC 与 CVC 投资等议题建立长效合作通道。</w:t>
      </w:r>
    </w:p>
    <w:p>
      <w:pPr>
        <w:pStyle w:val="ListBullet"/>
        <w:spacing w:after="60"/>
      </w:pPr>
      <w:r>
        <w:rPr>
          <w:rFonts w:ascii="微软雅黑" w:hAnsi="微软雅黑" w:eastAsia="微软雅黑"/>
          <w:color w:val="222A33"/>
          <w:sz w:val="23"/>
        </w:rPr>
        <w:t>形成可跟进的项目线索与合作意向清单，为后续双向走访、专题对接与落地转化奠基。</w:t>
      </w:r>
    </w:p>
    <w:p>
      <w:pPr>
        <w:spacing w:before="280" w:after="160"/>
      </w:pPr>
      <w:r>
        <w:rPr>
          <w:rFonts w:ascii="微软雅黑" w:hAnsi="微软雅黑" w:eastAsia="微软雅黑"/>
          <w:b/>
          <w:color w:val="0B3D5C"/>
          <w:sz w:val="32"/>
        </w:rPr>
        <w:t>二、组织方与接待单位</w:t>
      </w:r>
    </w:p>
    <w:p>
      <w:pPr>
        <w:spacing w:after="200" w:before="0"/>
        <w:ind w:firstLine="440"/>
      </w:pPr>
      <w:r>
        <w:rPr>
          <w:rFonts w:ascii="微软雅黑" w:hAnsi="微软雅黑" w:eastAsia="微软雅黑"/>
          <w:b w:val="0"/>
          <w:sz w:val="23"/>
        </w:rPr>
        <w:t>本次考察由复旦大学住房政策研究中心与上海市杨浦区科技企业联合会联合组织，恳请宁波经济技术开发区投资促进局作为接待单位予以统筹支持。</w:t>
      </w:r>
    </w:p>
    <w:p>
      <w:pPr>
        <w:spacing w:after="40" w:before="0"/>
      </w:pPr>
      <w:r>
        <w:rPr>
          <w:rFonts w:ascii="微软雅黑" w:hAnsi="微软雅黑" w:eastAsia="微软雅黑"/>
          <w:b/>
          <w:color w:val="1A6B6B"/>
          <w:sz w:val="22"/>
        </w:rPr>
        <w:t>组织方 · 学术与产业平台</w:t>
      </w:r>
    </w:p>
    <w:p>
      <w:pPr>
        <w:spacing w:after="80" w:before="0"/>
      </w:pPr>
      <w:r>
        <w:rPr>
          <w:rFonts w:ascii="微软雅黑" w:hAnsi="微软雅黑" w:eastAsia="微软雅黑"/>
          <w:b/>
          <w:color w:val="0B3D5C"/>
          <w:sz w:val="24"/>
        </w:rPr>
        <w:t>复旦大学住房政策研究中心</w:t>
      </w:r>
    </w:p>
    <w:p>
      <w:pPr>
        <w:pStyle w:val="ListBullet"/>
        <w:spacing w:after="60"/>
      </w:pPr>
      <w:r>
        <w:rPr>
          <w:rFonts w:ascii="微软雅黑" w:hAnsi="微软雅黑" w:eastAsia="微软雅黑"/>
          <w:color w:val="222A33"/>
          <w:sz w:val="22"/>
        </w:rPr>
        <w:t>统筹考察主题、议程设计与总结形成</w:t>
      </w:r>
    </w:p>
    <w:p>
      <w:pPr>
        <w:pStyle w:val="ListBullet"/>
        <w:spacing w:after="60"/>
      </w:pPr>
      <w:r>
        <w:rPr>
          <w:rFonts w:ascii="微软雅黑" w:hAnsi="微软雅黑" w:eastAsia="微软雅黑"/>
          <w:color w:val="222A33"/>
          <w:sz w:val="22"/>
        </w:rPr>
        <w:t>发挥复旦校友网络与政策研究优势，提升交流层级与专业深度</w:t>
      </w:r>
    </w:p>
    <w:p>
      <w:pPr>
        <w:pStyle w:val="ListBullet"/>
        <w:spacing w:after="60"/>
      </w:pPr>
      <w:r>
        <w:rPr>
          <w:rFonts w:ascii="微软雅黑" w:hAnsi="微软雅黑" w:eastAsia="微软雅黑"/>
          <w:color w:val="222A33"/>
          <w:sz w:val="22"/>
        </w:rPr>
        <w:t>协助梳理产业导入、空间载体与长效合作机制建议</w:t>
      </w:r>
    </w:p>
    <w:p>
      <w:pPr>
        <w:spacing w:after="40" w:before="0"/>
      </w:pPr>
      <w:r>
        <w:rPr>
          <w:rFonts w:ascii="微软雅黑" w:hAnsi="微软雅黑" w:eastAsia="微软雅黑"/>
          <w:b/>
          <w:color w:val="1A6B6B"/>
          <w:sz w:val="22"/>
        </w:rPr>
        <w:t>组织方 · 企业与资本组织</w:t>
      </w:r>
    </w:p>
    <w:p>
      <w:pPr>
        <w:spacing w:after="80" w:before="0"/>
      </w:pPr>
      <w:r>
        <w:rPr>
          <w:rFonts w:ascii="微软雅黑" w:hAnsi="微软雅黑" w:eastAsia="微软雅黑"/>
          <w:b/>
          <w:color w:val="0B3D5C"/>
          <w:sz w:val="24"/>
        </w:rPr>
        <w:t>上海市杨浦区科技企业联合会</w:t>
      </w:r>
    </w:p>
    <w:p>
      <w:pPr>
        <w:pStyle w:val="ListBullet"/>
        <w:spacing w:after="60"/>
      </w:pPr>
      <w:r>
        <w:rPr>
          <w:rFonts w:ascii="微软雅黑" w:hAnsi="微软雅黑" w:eastAsia="微软雅黑"/>
          <w:color w:val="222A33"/>
          <w:sz w:val="22"/>
        </w:rPr>
        <w:t>组织上海市科技企业家、科创企业与相关投资机构参与</w:t>
      </w:r>
    </w:p>
    <w:p>
      <w:pPr>
        <w:pStyle w:val="ListBullet"/>
        <w:spacing w:after="60"/>
      </w:pPr>
      <w:r>
        <w:rPr>
          <w:rFonts w:ascii="微软雅黑" w:hAnsi="微软雅黑" w:eastAsia="微软雅黑"/>
          <w:color w:val="222A33"/>
          <w:sz w:val="22"/>
        </w:rPr>
        <w:t>负责企业侧需求征集、参访对接与会后跟进撮合</w:t>
      </w:r>
    </w:p>
    <w:p>
      <w:pPr>
        <w:pStyle w:val="ListBullet"/>
        <w:spacing w:after="60"/>
      </w:pPr>
      <w:r>
        <w:rPr>
          <w:rFonts w:ascii="微软雅黑" w:hAnsi="微软雅黑" w:eastAsia="微软雅黑"/>
          <w:color w:val="222A33"/>
          <w:sz w:val="22"/>
        </w:rPr>
        <w:t>推动 PE/VC、CVC 与产业项目之间的投洽交流</w:t>
      </w:r>
    </w:p>
    <w:p>
      <w:pPr>
        <w:spacing w:after="40" w:before="0"/>
      </w:pPr>
      <w:r>
        <w:rPr>
          <w:rFonts w:ascii="微软雅黑" w:hAnsi="微软雅黑" w:eastAsia="微软雅黑"/>
          <w:b/>
          <w:color w:val="1A6B6B"/>
          <w:sz w:val="22"/>
        </w:rPr>
        <w:t>接待单位 · 投促主责方</w:t>
      </w:r>
    </w:p>
    <w:p>
      <w:pPr>
        <w:spacing w:after="80" w:before="0"/>
      </w:pPr>
      <w:r>
        <w:rPr>
          <w:rFonts w:ascii="微软雅黑" w:hAnsi="微软雅黑" w:eastAsia="微软雅黑"/>
          <w:b/>
          <w:color w:val="0B3D5C"/>
          <w:sz w:val="24"/>
        </w:rPr>
        <w:t>宁波经济技术开发区投资促进局</w:t>
      </w:r>
    </w:p>
    <w:p>
      <w:pPr>
        <w:pStyle w:val="ListBullet"/>
        <w:spacing w:after="60"/>
      </w:pPr>
      <w:r>
        <w:rPr>
          <w:rFonts w:ascii="微软雅黑" w:hAnsi="微软雅黑" w:eastAsia="微软雅黑"/>
          <w:color w:val="222A33"/>
          <w:sz w:val="22"/>
        </w:rPr>
        <w:t>统筹接待安排、政策宣讲与重点园区 / 企业参访协调</w:t>
      </w:r>
    </w:p>
    <w:p>
      <w:pPr>
        <w:pStyle w:val="ListBullet"/>
        <w:spacing w:after="60"/>
      </w:pPr>
      <w:r>
        <w:rPr>
          <w:rFonts w:ascii="微软雅黑" w:hAnsi="微软雅黑" w:eastAsia="微软雅黑"/>
          <w:color w:val="222A33"/>
          <w:sz w:val="22"/>
        </w:rPr>
        <w:t>安排宁波港及当地特色企业、孵化器、产业载体参访</w:t>
      </w:r>
    </w:p>
    <w:p>
      <w:pPr>
        <w:pStyle w:val="ListBullet"/>
        <w:spacing w:after="60"/>
      </w:pPr>
      <w:r>
        <w:rPr>
          <w:rFonts w:ascii="微软雅黑" w:hAnsi="微软雅黑" w:eastAsia="微软雅黑"/>
          <w:color w:val="222A33"/>
          <w:sz w:val="22"/>
        </w:rPr>
        <w:t>组织招商、投促与产业主管部门、企业代表座谈交流</w:t>
      </w:r>
    </w:p>
    <w:p>
      <w:pPr>
        <w:spacing w:before="280" w:after="160"/>
      </w:pPr>
      <w:r>
        <w:rPr>
          <w:rFonts w:ascii="微软雅黑" w:hAnsi="微软雅黑" w:eastAsia="微软雅黑"/>
          <w:b/>
          <w:color w:val="0B3D5C"/>
          <w:sz w:val="32"/>
        </w:rPr>
        <w:t>三、考察人员构成</w:t>
      </w:r>
    </w:p>
    <w:p>
      <w:pPr>
        <w:spacing w:after="120" w:before="0"/>
      </w:pPr>
      <w:r>
        <w:rPr>
          <w:rFonts w:ascii="微软雅黑" w:hAnsi="微软雅黑" w:eastAsia="微软雅黑"/>
          <w:b/>
          <w:sz w:val="23"/>
        </w:rPr>
        <w:t>建议规模：15–30 人（小而精、可深度交流）</w:t>
      </w:r>
    </w:p>
    <w:p>
      <w:pPr>
        <w:spacing w:after="200" w:before="0"/>
      </w:pPr>
      <w:r>
        <w:rPr>
          <w:rFonts w:ascii="微软雅黑" w:hAnsi="微软雅黑" w:eastAsia="微软雅黑"/>
          <w:b w:val="0"/>
          <w:color w:val="5A636E"/>
          <w:sz w:val="22"/>
        </w:rPr>
        <w:t>以上海出发、高铁 / 自驾往返为宜；具体人员名单将于出发前 10–15 个工作日书面确认。</w:t>
      </w:r>
    </w:p>
    <w:tbl>
      <w:tblPr>
        <w:tblStyle w:val="TableGrid"/>
        <w:tblW w:type="auto" w:w="0"/>
        <w:jc w:val="center"/>
        <w:tblLook w:firstColumn="1" w:firstRow="1" w:lastColumn="0" w:lastRow="0" w:noHBand="0" w:noVBand="1" w:val="04A0"/>
      </w:tblPr>
      <w:tblGrid>
        <w:gridCol w:w="4646"/>
        <w:gridCol w:w="4646"/>
      </w:tblGrid>
      <w:tr>
        <w:tc>
          <w:tcPr>
            <w:tcW w:type="dxa" w:w="4646"/>
            <w:shd w:val="clear" w:fill="0B3D5C"/>
          </w:tcPr>
          <w:p>
            <w:r>
              <w:rPr>
                <w:rFonts w:ascii="微软雅黑" w:hAnsi="微软雅黑" w:eastAsia="微软雅黑"/>
                <w:b/>
                <w:color w:val="FFFFFF"/>
                <w:sz w:val="21"/>
              </w:rPr>
              <w:t>类别</w:t>
            </w:r>
          </w:p>
        </w:tc>
        <w:tc>
          <w:tcPr>
            <w:tcW w:type="dxa" w:w="4646"/>
            <w:shd w:val="clear" w:fill="0B3D5C"/>
          </w:tcPr>
          <w:p>
            <w:r>
              <w:rPr>
                <w:rFonts w:ascii="微软雅黑" w:hAnsi="微软雅黑" w:eastAsia="微软雅黑"/>
                <w:b/>
                <w:color w:val="FFFFFF"/>
                <w:sz w:val="21"/>
              </w:rPr>
              <w:t>说明</w:t>
            </w:r>
          </w:p>
        </w:tc>
      </w:tr>
      <w:tr>
        <w:tc>
          <w:tcPr>
            <w:tcW w:type="dxa" w:w="4646"/>
          </w:tcPr>
          <w:p>
            <w:r>
              <w:rPr>
                <w:rFonts w:ascii="微软雅黑" w:hAnsi="微软雅黑" w:eastAsia="微软雅黑"/>
                <w:b w:val="0"/>
                <w:color w:val="222A33"/>
                <w:sz w:val="21"/>
              </w:rPr>
              <w:t>复旦大学校友</w:t>
            </w:r>
          </w:p>
        </w:tc>
        <w:tc>
          <w:tcPr>
            <w:tcW w:type="dxa" w:w="4646"/>
          </w:tcPr>
          <w:p>
            <w:r>
              <w:rPr>
                <w:rFonts w:ascii="微软雅黑" w:hAnsi="微软雅黑" w:eastAsia="微软雅黑"/>
                <w:b w:val="0"/>
                <w:color w:val="222A33"/>
                <w:sz w:val="21"/>
              </w:rPr>
              <w:t>覆盖科技、制造、不动产与产业投资等领域的校友企业家与高管</w:t>
            </w:r>
          </w:p>
        </w:tc>
      </w:tr>
      <w:tr>
        <w:tc>
          <w:tcPr>
            <w:tcW w:type="dxa" w:w="4646"/>
          </w:tcPr>
          <w:p>
            <w:r>
              <w:rPr>
                <w:rFonts w:ascii="微软雅黑" w:hAnsi="微软雅黑" w:eastAsia="微软雅黑"/>
                <w:b w:val="0"/>
                <w:color w:val="222A33"/>
                <w:sz w:val="21"/>
              </w:rPr>
              <w:t>上海市科技企业家</w:t>
            </w:r>
          </w:p>
        </w:tc>
        <w:tc>
          <w:tcPr>
            <w:tcW w:type="dxa" w:w="4646"/>
          </w:tcPr>
          <w:p>
            <w:r>
              <w:rPr>
                <w:rFonts w:ascii="微软雅黑" w:hAnsi="微软雅黑" w:eastAsia="微软雅黑"/>
                <w:b w:val="0"/>
                <w:color w:val="222A33"/>
                <w:sz w:val="21"/>
              </w:rPr>
              <w:t>杨浦及上海科创企业负责人、成长型企业与产业平台代表</w:t>
            </w:r>
          </w:p>
        </w:tc>
      </w:tr>
      <w:tr>
        <w:tc>
          <w:tcPr>
            <w:tcW w:type="dxa" w:w="4646"/>
          </w:tcPr>
          <w:p>
            <w:r>
              <w:rPr>
                <w:rFonts w:ascii="微软雅黑" w:hAnsi="微软雅黑" w:eastAsia="微软雅黑"/>
                <w:b w:val="0"/>
                <w:color w:val="222A33"/>
                <w:sz w:val="21"/>
              </w:rPr>
              <w:t>投资机构代表（拟）</w:t>
            </w:r>
          </w:p>
        </w:tc>
        <w:tc>
          <w:tcPr>
            <w:tcW w:type="dxa" w:w="4646"/>
          </w:tcPr>
          <w:p>
            <w:r>
              <w:rPr>
                <w:rFonts w:ascii="微软雅黑" w:hAnsi="微软雅黑" w:eastAsia="微软雅黑"/>
                <w:b w:val="0"/>
                <w:color w:val="222A33"/>
                <w:sz w:val="21"/>
              </w:rPr>
              <w:t>关注长三角先进制造、临港产业与硬科技的 PE/VC、CVC 机构</w:t>
            </w:r>
          </w:p>
        </w:tc>
      </w:tr>
      <w:tr>
        <w:tc>
          <w:tcPr>
            <w:tcW w:type="dxa" w:w="4646"/>
          </w:tcPr>
          <w:p>
            <w:r>
              <w:rPr>
                <w:rFonts w:ascii="微软雅黑" w:hAnsi="微软雅黑" w:eastAsia="微软雅黑"/>
                <w:b w:val="0"/>
                <w:color w:val="222A33"/>
                <w:sz w:val="21"/>
              </w:rPr>
              <w:t>组织方工作人员</w:t>
            </w:r>
          </w:p>
        </w:tc>
        <w:tc>
          <w:tcPr>
            <w:tcW w:type="dxa" w:w="4646"/>
          </w:tcPr>
          <w:p>
            <w:r>
              <w:rPr>
                <w:rFonts w:ascii="微软雅黑" w:hAnsi="微软雅黑" w:eastAsia="微软雅黑"/>
                <w:b w:val="0"/>
                <w:color w:val="222A33"/>
                <w:sz w:val="21"/>
              </w:rPr>
              <w:t>负责行程统筹、现场组织与会后线索跟进</w:t>
            </w:r>
          </w:p>
        </w:tc>
      </w:tr>
    </w:tbl>
    <w:p>
      <w:pPr>
        <w:spacing w:after="120" w:before="0"/>
      </w:pPr>
      <w:r>
        <w:rPr>
          <w:rFonts w:ascii="微软雅黑" w:hAnsi="微软雅黑" w:eastAsia="微软雅黑"/>
          <w:b w:val="0"/>
          <w:sz w:val="12"/>
        </w:rPr>
      </w:r>
    </w:p>
    <w:p>
      <w:pPr>
        <w:spacing w:before="280" w:after="160"/>
      </w:pPr>
      <w:r>
        <w:rPr>
          <w:rFonts w:ascii="微软雅黑" w:hAnsi="微软雅黑" w:eastAsia="微软雅黑"/>
          <w:b/>
          <w:color w:val="0B3D5C"/>
          <w:sz w:val="32"/>
        </w:rPr>
        <w:t>四、考察主题与长期合作方向</w:t>
      </w:r>
    </w:p>
    <w:p>
      <w:pPr>
        <w:spacing w:after="160" w:before="0"/>
        <w:ind w:firstLine="440"/>
      </w:pPr>
      <w:r>
        <w:rPr>
          <w:rFonts w:ascii="微软雅黑" w:hAnsi="微软雅黑" w:eastAsia="微软雅黑"/>
          <w:b w:val="0"/>
          <w:sz w:val="23"/>
        </w:rPr>
        <w:t>本次交流不仅聚焦单次参访，更着眼于围绕以下事项建立长期合作与投洽通道：</w:t>
      </w:r>
    </w:p>
    <w:p>
      <w:pPr>
        <w:spacing w:before="200" w:after="160"/>
      </w:pPr>
      <w:r>
        <w:rPr>
          <w:rFonts w:ascii="微软雅黑" w:hAnsi="微软雅黑" w:eastAsia="微软雅黑"/>
          <w:b/>
          <w:color w:val="0B3D5C"/>
          <w:sz w:val="27"/>
        </w:rPr>
        <w:t>4.1 招商引资与产业导入</w:t>
      </w:r>
    </w:p>
    <w:p>
      <w:pPr>
        <w:pStyle w:val="ListBullet"/>
        <w:spacing w:after="60"/>
      </w:pPr>
      <w:r>
        <w:rPr>
          <w:rFonts w:ascii="微软雅黑" w:hAnsi="微软雅黑" w:eastAsia="微软雅黑"/>
          <w:color w:val="222A33"/>
          <w:sz w:val="22"/>
        </w:rPr>
        <w:t>了解开发区主导产业、重点招商目录与优惠政策</w:t>
      </w:r>
    </w:p>
    <w:p>
      <w:pPr>
        <w:pStyle w:val="ListBullet"/>
        <w:spacing w:after="60"/>
      </w:pPr>
      <w:r>
        <w:rPr>
          <w:rFonts w:ascii="微软雅黑" w:hAnsi="微软雅黑" w:eastAsia="微软雅黑"/>
          <w:color w:val="222A33"/>
          <w:sz w:val="22"/>
        </w:rPr>
        <w:t>对接适合上海科技企业外溢落地、分支设立与产能布局的载体</w:t>
      </w:r>
    </w:p>
    <w:p>
      <w:pPr>
        <w:pStyle w:val="ListBullet"/>
        <w:spacing w:after="60"/>
      </w:pPr>
      <w:r>
        <w:rPr>
          <w:rFonts w:ascii="微软雅黑" w:hAnsi="微软雅黑" w:eastAsia="微软雅黑"/>
          <w:color w:val="222A33"/>
          <w:sz w:val="22"/>
        </w:rPr>
        <w:t>形成“上海研发 / 总部 + 宁波制造 / 临港场景”的协同导入路径</w:t>
      </w:r>
    </w:p>
    <w:p>
      <w:pPr>
        <w:spacing w:before="200" w:after="160"/>
      </w:pPr>
      <w:r>
        <w:rPr>
          <w:rFonts w:ascii="微软雅黑" w:hAnsi="微软雅黑" w:eastAsia="微软雅黑"/>
          <w:b/>
          <w:color w:val="0B3D5C"/>
          <w:sz w:val="27"/>
        </w:rPr>
        <w:t>4.2 科技孵化与创新生态</w:t>
      </w:r>
    </w:p>
    <w:p>
      <w:pPr>
        <w:pStyle w:val="ListBullet"/>
        <w:spacing w:after="60"/>
      </w:pPr>
      <w:r>
        <w:rPr>
          <w:rFonts w:ascii="微软雅黑" w:hAnsi="微软雅黑" w:eastAsia="微软雅黑"/>
          <w:color w:val="222A33"/>
          <w:sz w:val="22"/>
        </w:rPr>
        <w:t>参访当地科技企业孵化器、加速器与特色产业园区</w:t>
      </w:r>
    </w:p>
    <w:p>
      <w:pPr>
        <w:pStyle w:val="ListBullet"/>
        <w:spacing w:after="60"/>
      </w:pPr>
      <w:r>
        <w:rPr>
          <w:rFonts w:ascii="微软雅黑" w:hAnsi="微软雅黑" w:eastAsia="微软雅黑"/>
          <w:color w:val="222A33"/>
          <w:sz w:val="22"/>
        </w:rPr>
        <w:t>交流沪甬双城孵化协同、校友创业项目落地与导师资源互通</w:t>
      </w:r>
    </w:p>
    <w:p>
      <w:pPr>
        <w:pStyle w:val="ListBullet"/>
        <w:spacing w:after="60"/>
      </w:pPr>
      <w:r>
        <w:rPr>
          <w:rFonts w:ascii="微软雅黑" w:hAnsi="微软雅黑" w:eastAsia="微软雅黑"/>
          <w:color w:val="222A33"/>
          <w:sz w:val="22"/>
        </w:rPr>
        <w:t>探讨联合路演、联合孵化与场景验证合作机制</w:t>
      </w:r>
    </w:p>
    <w:p>
      <w:pPr>
        <w:spacing w:before="200" w:after="160"/>
      </w:pPr>
      <w:r>
        <w:rPr>
          <w:rFonts w:ascii="微软雅黑" w:hAnsi="微软雅黑" w:eastAsia="微软雅黑"/>
          <w:b/>
          <w:color w:val="0B3D5C"/>
          <w:sz w:val="27"/>
        </w:rPr>
        <w:t>4.3 宁波港与临港产业参访</w:t>
      </w:r>
    </w:p>
    <w:p>
      <w:pPr>
        <w:pStyle w:val="ListBullet"/>
        <w:spacing w:after="60"/>
      </w:pPr>
      <w:r>
        <w:rPr>
          <w:rFonts w:ascii="微软雅黑" w:hAnsi="微软雅黑" w:eastAsia="微软雅黑"/>
          <w:color w:val="222A33"/>
          <w:sz w:val="22"/>
        </w:rPr>
        <w:t>了解港口物流、航运服务与临港产业链配套能力</w:t>
      </w:r>
    </w:p>
    <w:p>
      <w:pPr>
        <w:pStyle w:val="ListBullet"/>
        <w:spacing w:after="60"/>
      </w:pPr>
      <w:r>
        <w:rPr>
          <w:rFonts w:ascii="微软雅黑" w:hAnsi="微软雅黑" w:eastAsia="微软雅黑"/>
          <w:color w:val="222A33"/>
          <w:sz w:val="22"/>
        </w:rPr>
        <w:t>对接外贸、供应链、高端制造与港航服务相关合作机会</w:t>
      </w:r>
    </w:p>
    <w:p>
      <w:pPr>
        <w:pStyle w:val="ListBullet"/>
        <w:spacing w:after="60"/>
      </w:pPr>
      <w:r>
        <w:rPr>
          <w:rFonts w:ascii="微软雅黑" w:hAnsi="微软雅黑" w:eastAsia="微软雅黑"/>
          <w:color w:val="222A33"/>
          <w:sz w:val="22"/>
        </w:rPr>
        <w:t>为企业家提供港口枢纽与开放平台的直观认知</w:t>
      </w:r>
    </w:p>
    <w:p>
      <w:pPr>
        <w:spacing w:before="200" w:after="160"/>
      </w:pPr>
      <w:r>
        <w:rPr>
          <w:rFonts w:ascii="微软雅黑" w:hAnsi="微软雅黑" w:eastAsia="微软雅黑"/>
          <w:b/>
          <w:color w:val="0B3D5C"/>
          <w:sz w:val="27"/>
        </w:rPr>
        <w:t>4.4 PE/VC 与 CVC 投洽合作</w:t>
      </w:r>
    </w:p>
    <w:p>
      <w:pPr>
        <w:pStyle w:val="ListBullet"/>
        <w:spacing w:after="60"/>
      </w:pPr>
      <w:r>
        <w:rPr>
          <w:rFonts w:ascii="微软雅黑" w:hAnsi="微软雅黑" w:eastAsia="微软雅黑"/>
          <w:color w:val="222A33"/>
          <w:sz w:val="22"/>
        </w:rPr>
        <w:t>组织投资机构与当地优质企业、项目方开展闭门投洽</w:t>
      </w:r>
    </w:p>
    <w:p>
      <w:pPr>
        <w:pStyle w:val="ListBullet"/>
        <w:spacing w:after="60"/>
      </w:pPr>
      <w:r>
        <w:rPr>
          <w:rFonts w:ascii="微软雅黑" w:hAnsi="微软雅黑" w:eastAsia="微软雅黑"/>
          <w:color w:val="222A33"/>
          <w:sz w:val="22"/>
        </w:rPr>
        <w:t>围绕成长期项目融资、产业并购、CVC 战略投资等议题交流</w:t>
      </w:r>
    </w:p>
    <w:p>
      <w:pPr>
        <w:pStyle w:val="ListBullet"/>
        <w:spacing w:after="60"/>
      </w:pPr>
      <w:r>
        <w:rPr>
          <w:rFonts w:ascii="微软雅黑" w:hAnsi="微软雅黑" w:eastAsia="微软雅黑"/>
          <w:color w:val="222A33"/>
          <w:sz w:val="22"/>
        </w:rPr>
        <w:t>建立项目信息互通与常态化投促对接机制</w:t>
      </w:r>
    </w:p>
    <w:p>
      <w:r>
        <w:br w:type="page"/>
      </w:r>
    </w:p>
    <w:p>
      <w:pPr>
        <w:spacing w:before="280" w:after="160"/>
      </w:pPr>
      <w:r>
        <w:rPr>
          <w:rFonts w:ascii="微软雅黑" w:hAnsi="微软雅黑" w:eastAsia="微软雅黑"/>
          <w:b/>
          <w:color w:val="0B3D5C"/>
          <w:sz w:val="32"/>
        </w:rPr>
        <w:t>五、时间安排建议</w:t>
      </w:r>
    </w:p>
    <w:p>
      <w:pPr>
        <w:spacing w:after="160" w:before="0"/>
      </w:pPr>
      <w:r>
        <w:rPr>
          <w:rFonts w:ascii="微软雅黑" w:hAnsi="微软雅黑" w:eastAsia="微软雅黑"/>
          <w:b/>
          <w:color w:val="0B3D5C"/>
          <w:sz w:val="24"/>
        </w:rPr>
        <w:t>建议时间窗口：2026年8月至10月（择一两日）</w:t>
      </w:r>
    </w:p>
    <w:p>
      <w:pPr>
        <w:spacing w:after="200" w:before="0"/>
      </w:pPr>
      <w:r>
        <w:rPr>
          <w:rFonts w:ascii="微软雅黑" w:hAnsi="微软雅黑" w:eastAsia="微软雅黑"/>
          <w:b w:val="0"/>
          <w:color w:val="5A636E"/>
          <w:sz w:val="22"/>
        </w:rPr>
        <w:t>最终日期由组织方与接待单位协商确定，建议提前 3–4 周锁定。</w:t>
      </w:r>
    </w:p>
    <w:p>
      <w:pPr>
        <w:spacing w:before="200" w:after="160"/>
      </w:pPr>
      <w:r>
        <w:rPr>
          <w:rFonts w:ascii="微软雅黑" w:hAnsi="微软雅黑" w:eastAsia="微软雅黑"/>
          <w:b/>
          <w:color w:val="0B3D5C"/>
          <w:sz w:val="27"/>
        </w:rPr>
        <w:t>5.1 行程深度选项</w:t>
      </w:r>
    </w:p>
    <w:tbl>
      <w:tblPr>
        <w:tblStyle w:val="TableGrid"/>
        <w:tblW w:type="auto" w:w="0"/>
        <w:jc w:val="center"/>
        <w:tblLook w:firstColumn="1" w:firstRow="1" w:lastColumn="0" w:lastRow="0" w:noHBand="0" w:noVBand="1" w:val="04A0"/>
      </w:tblPr>
      <w:tblGrid>
        <w:gridCol w:w="3097"/>
        <w:gridCol w:w="3097"/>
        <w:gridCol w:w="3097"/>
      </w:tblGrid>
      <w:tr>
        <w:tc>
          <w:tcPr>
            <w:tcW w:type="dxa" w:w="3097"/>
            <w:shd w:val="clear" w:fill="0B3D5C"/>
          </w:tcPr>
          <w:p>
            <w:r>
              <w:rPr>
                <w:rFonts w:ascii="微软雅黑" w:hAnsi="微软雅黑" w:eastAsia="微软雅黑"/>
                <w:b/>
                <w:color w:val="FFFFFF"/>
                <w:sz w:val="21"/>
              </w:rPr>
              <w:t>方案</w:t>
            </w:r>
          </w:p>
        </w:tc>
        <w:tc>
          <w:tcPr>
            <w:tcW w:type="dxa" w:w="3097"/>
            <w:shd w:val="clear" w:fill="0B3D5C"/>
          </w:tcPr>
          <w:p>
            <w:r>
              <w:rPr>
                <w:rFonts w:ascii="微软雅黑" w:hAnsi="微软雅黑" w:eastAsia="微软雅黑"/>
                <w:b/>
                <w:color w:val="FFFFFF"/>
                <w:sz w:val="21"/>
              </w:rPr>
              <w:t>时长</w:t>
            </w:r>
          </w:p>
        </w:tc>
        <w:tc>
          <w:tcPr>
            <w:tcW w:type="dxa" w:w="3097"/>
            <w:shd w:val="clear" w:fill="0B3D5C"/>
          </w:tcPr>
          <w:p>
            <w:r>
              <w:rPr>
                <w:rFonts w:ascii="微软雅黑" w:hAnsi="微软雅黑" w:eastAsia="微软雅黑"/>
                <w:b/>
                <w:color w:val="FFFFFF"/>
                <w:sz w:val="21"/>
              </w:rPr>
              <w:t>适用情形</w:t>
            </w:r>
          </w:p>
        </w:tc>
      </w:tr>
      <w:tr>
        <w:tc>
          <w:tcPr>
            <w:tcW w:type="dxa" w:w="3097"/>
          </w:tcPr>
          <w:p>
            <w:r>
              <w:rPr>
                <w:rFonts w:ascii="微软雅黑" w:hAnsi="微软雅黑" w:eastAsia="微软雅黑"/>
                <w:b w:val="0"/>
                <w:color w:val="222A33"/>
                <w:sz w:val="21"/>
              </w:rPr>
              <w:t>方案 A · 一日精华行</w:t>
            </w:r>
          </w:p>
        </w:tc>
        <w:tc>
          <w:tcPr>
            <w:tcW w:type="dxa" w:w="3097"/>
          </w:tcPr>
          <w:p>
            <w:r>
              <w:rPr>
                <w:rFonts w:ascii="微软雅黑" w:hAnsi="微软雅黑" w:eastAsia="微软雅黑"/>
                <w:b w:val="0"/>
                <w:color w:val="222A33"/>
                <w:sz w:val="21"/>
              </w:rPr>
              <w:t>工作日一天</w:t>
            </w:r>
          </w:p>
        </w:tc>
        <w:tc>
          <w:tcPr>
            <w:tcW w:type="dxa" w:w="3097"/>
          </w:tcPr>
          <w:p>
            <w:r>
              <w:rPr>
                <w:rFonts w:ascii="微软雅黑" w:hAnsi="微软雅黑" w:eastAsia="微软雅黑"/>
                <w:b w:val="0"/>
                <w:color w:val="222A33"/>
                <w:sz w:val="21"/>
              </w:rPr>
              <w:t>适合时间紧张、聚焦港口 + 园区 + 座谈</w:t>
            </w:r>
          </w:p>
        </w:tc>
      </w:tr>
      <w:tr>
        <w:tc>
          <w:tcPr>
            <w:tcW w:type="dxa" w:w="3097"/>
          </w:tcPr>
          <w:p>
            <w:r>
              <w:rPr>
                <w:rFonts w:ascii="微软雅黑" w:hAnsi="微软雅黑" w:eastAsia="微软雅黑"/>
                <w:b w:val="0"/>
                <w:color w:val="222A33"/>
                <w:sz w:val="21"/>
              </w:rPr>
              <w:t>方案 B · 两日深度行（推荐）</w:t>
            </w:r>
          </w:p>
        </w:tc>
        <w:tc>
          <w:tcPr>
            <w:tcW w:type="dxa" w:w="3097"/>
          </w:tcPr>
          <w:p>
            <w:r>
              <w:rPr>
                <w:rFonts w:ascii="微软雅黑" w:hAnsi="微软雅黑" w:eastAsia="微软雅黑"/>
                <w:b w:val="0"/>
                <w:color w:val="222A33"/>
                <w:sz w:val="21"/>
              </w:rPr>
              <w:t>连续两日</w:t>
            </w:r>
          </w:p>
        </w:tc>
        <w:tc>
          <w:tcPr>
            <w:tcW w:type="dxa" w:w="3097"/>
          </w:tcPr>
          <w:p>
            <w:r>
              <w:rPr>
                <w:rFonts w:ascii="微软雅黑" w:hAnsi="微软雅黑" w:eastAsia="微软雅黑"/>
                <w:b w:val="0"/>
                <w:color w:val="222A33"/>
                <w:sz w:val="21"/>
              </w:rPr>
              <w:t>增加特色企业参访、投洽对接与非正式交流</w:t>
            </w:r>
          </w:p>
        </w:tc>
      </w:tr>
    </w:tbl>
    <w:p>
      <w:pPr>
        <w:spacing w:after="120" w:before="0"/>
      </w:pPr>
      <w:r>
        <w:rPr>
          <w:rFonts w:ascii="微软雅黑" w:hAnsi="微软雅黑" w:eastAsia="微软雅黑"/>
          <w:b w:val="0"/>
          <w:sz w:val="12"/>
        </w:rPr>
      </w:r>
    </w:p>
    <w:p>
      <w:pPr>
        <w:spacing w:before="200" w:after="160"/>
      </w:pPr>
      <w:r>
        <w:rPr>
          <w:rFonts w:ascii="微软雅黑" w:hAnsi="微软雅黑" w:eastAsia="微软雅黑"/>
          <w:b/>
          <w:color w:val="0B3D5C"/>
          <w:sz w:val="27"/>
        </w:rPr>
        <w:t>5.2 建议窗口</w:t>
      </w:r>
    </w:p>
    <w:p>
      <w:pPr>
        <w:pStyle w:val="ListBullet"/>
        <w:spacing w:after="60"/>
      </w:pPr>
      <w:r>
        <w:rPr>
          <w:rFonts w:ascii="微软雅黑" w:hAnsi="微软雅黑" w:eastAsia="微软雅黑"/>
          <w:color w:val="222A33"/>
          <w:sz w:val="22"/>
        </w:rPr>
        <w:t>8月下旬：暑期收尾、企业负责人相对灵活</w:t>
      </w:r>
    </w:p>
    <w:p>
      <w:pPr>
        <w:pStyle w:val="ListBullet"/>
        <w:spacing w:after="60"/>
      </w:pPr>
      <w:r>
        <w:rPr>
          <w:rFonts w:ascii="微软雅黑" w:hAnsi="微软雅黑" w:eastAsia="微软雅黑"/>
          <w:color w:val="222A33"/>
          <w:sz w:val="22"/>
        </w:rPr>
        <w:t>9月中下旬：避开开学高峰后的稳定窗口</w:t>
      </w:r>
    </w:p>
    <w:p>
      <w:pPr>
        <w:pStyle w:val="ListBullet"/>
        <w:spacing w:after="60"/>
      </w:pPr>
      <w:r>
        <w:rPr>
          <w:rFonts w:ascii="微软雅黑" w:hAnsi="微软雅黑" w:eastAsia="微软雅黑"/>
          <w:color w:val="222A33"/>
          <w:sz w:val="22"/>
        </w:rPr>
        <w:t>10月中上旬：国庆后、适合深度对接与回访安排</w:t>
      </w:r>
    </w:p>
    <w:p>
      <w:pPr>
        <w:spacing w:before="280" w:after="160"/>
      </w:pPr>
      <w:r>
        <w:rPr>
          <w:rFonts w:ascii="微软雅黑" w:hAnsi="微软雅黑" w:eastAsia="微软雅黑"/>
          <w:b/>
          <w:color w:val="0B3D5C"/>
          <w:sz w:val="32"/>
        </w:rPr>
        <w:t>六、建议行程方案</w:t>
      </w:r>
    </w:p>
    <w:p>
      <w:pPr>
        <w:spacing w:after="200" w:before="0"/>
        <w:ind w:firstLine="440"/>
      </w:pPr>
      <w:r>
        <w:rPr>
          <w:rFonts w:ascii="微软雅黑" w:hAnsi="微软雅黑" w:eastAsia="微软雅黑"/>
          <w:b w:val="0"/>
          <w:sz w:val="23"/>
        </w:rPr>
        <w:t>以下为建议框架，具体参访点、座谈主题与时段可由双方根据接待条件微调。推荐采用「方案 B · 两日深度行」。</w:t>
      </w:r>
    </w:p>
    <w:p>
      <w:pPr>
        <w:spacing w:before="200" w:after="160"/>
      </w:pPr>
      <w:r>
        <w:rPr>
          <w:rFonts w:ascii="微软雅黑" w:hAnsi="微软雅黑" w:eastAsia="微软雅黑"/>
          <w:b/>
          <w:color w:val="0B3D5C"/>
          <w:sz w:val="27"/>
        </w:rPr>
        <w:t>6.1 第一日（精华行程，一日行至此结束）</w:t>
      </w:r>
    </w:p>
    <w:tbl>
      <w:tblPr>
        <w:tblStyle w:val="TableGrid"/>
        <w:tblW w:type="auto" w:w="0"/>
        <w:jc w:val="center"/>
        <w:tblLook w:firstColumn="1" w:firstRow="1" w:lastColumn="0" w:lastRow="0" w:noHBand="0" w:noVBand="1" w:val="04A0"/>
      </w:tblPr>
      <w:tblGrid>
        <w:gridCol w:w="3097"/>
        <w:gridCol w:w="3097"/>
        <w:gridCol w:w="3097"/>
      </w:tblGrid>
      <w:tr>
        <w:tc>
          <w:tcPr>
            <w:tcW w:type="dxa" w:w="3097"/>
            <w:shd w:val="clear" w:fill="0B3D5C"/>
          </w:tcPr>
          <w:p>
            <w:r>
              <w:rPr>
                <w:rFonts w:ascii="微软雅黑" w:hAnsi="微软雅黑" w:eastAsia="微软雅黑"/>
                <w:b/>
                <w:color w:val="FFFFFF"/>
                <w:sz w:val="21"/>
              </w:rPr>
              <w:t>时间</w:t>
            </w:r>
          </w:p>
        </w:tc>
        <w:tc>
          <w:tcPr>
            <w:tcW w:type="dxa" w:w="3097"/>
            <w:shd w:val="clear" w:fill="0B3D5C"/>
          </w:tcPr>
          <w:p>
            <w:r>
              <w:rPr>
                <w:rFonts w:ascii="微软雅黑" w:hAnsi="微软雅黑" w:eastAsia="微软雅黑"/>
                <w:b/>
                <w:color w:val="FFFFFF"/>
                <w:sz w:val="21"/>
              </w:rPr>
              <w:t>事项</w:t>
            </w:r>
          </w:p>
        </w:tc>
        <w:tc>
          <w:tcPr>
            <w:tcW w:type="dxa" w:w="3097"/>
            <w:shd w:val="clear" w:fill="0B3D5C"/>
          </w:tcPr>
          <w:p>
            <w:r>
              <w:rPr>
                <w:rFonts w:ascii="微软雅黑" w:hAnsi="微软雅黑" w:eastAsia="微软雅黑"/>
                <w:b/>
                <w:color w:val="FFFFFF"/>
                <w:sz w:val="21"/>
              </w:rPr>
              <w:t>说明</w:t>
            </w:r>
          </w:p>
        </w:tc>
      </w:tr>
      <w:tr>
        <w:tc>
          <w:tcPr>
            <w:tcW w:type="dxa" w:w="3097"/>
          </w:tcPr>
          <w:p>
            <w:r>
              <w:rPr>
                <w:rFonts w:ascii="微软雅黑" w:hAnsi="微软雅黑" w:eastAsia="微软雅黑"/>
                <w:b w:val="0"/>
                <w:color w:val="222A33"/>
                <w:sz w:val="21"/>
              </w:rPr>
              <w:t>08:30–10:30</w:t>
            </w:r>
          </w:p>
        </w:tc>
        <w:tc>
          <w:tcPr>
            <w:tcW w:type="dxa" w:w="3097"/>
          </w:tcPr>
          <w:p>
            <w:r>
              <w:rPr>
                <w:rFonts w:ascii="微软雅黑" w:hAnsi="微软雅黑" w:eastAsia="微软雅黑"/>
                <w:b w:val="0"/>
                <w:color w:val="222A33"/>
                <w:sz w:val="21"/>
              </w:rPr>
              <w:t>上海出发 → 宁波经开区</w:t>
            </w:r>
          </w:p>
        </w:tc>
        <w:tc>
          <w:tcPr>
            <w:tcW w:type="dxa" w:w="3097"/>
          </w:tcPr>
          <w:p>
            <w:r>
              <w:rPr>
                <w:rFonts w:ascii="微软雅黑" w:hAnsi="微软雅黑" w:eastAsia="微软雅黑"/>
                <w:b w:val="0"/>
                <w:color w:val="222A33"/>
                <w:sz w:val="21"/>
              </w:rPr>
              <w:t>高铁 / 大巴，统一集合</w:t>
            </w:r>
          </w:p>
        </w:tc>
      </w:tr>
      <w:tr>
        <w:tc>
          <w:tcPr>
            <w:tcW w:type="dxa" w:w="3097"/>
          </w:tcPr>
          <w:p>
            <w:r>
              <w:rPr>
                <w:rFonts w:ascii="微软雅黑" w:hAnsi="微软雅黑" w:eastAsia="微软雅黑"/>
                <w:b w:val="0"/>
                <w:color w:val="222A33"/>
                <w:sz w:val="21"/>
              </w:rPr>
              <w:t>10:30–11:00</w:t>
            </w:r>
          </w:p>
        </w:tc>
        <w:tc>
          <w:tcPr>
            <w:tcW w:type="dxa" w:w="3097"/>
          </w:tcPr>
          <w:p>
            <w:r>
              <w:rPr>
                <w:rFonts w:ascii="微软雅黑" w:hAnsi="微软雅黑" w:eastAsia="微软雅黑"/>
                <w:b w:val="0"/>
                <w:color w:val="222A33"/>
                <w:sz w:val="21"/>
              </w:rPr>
              <w:t>抵达 · 简短欢迎</w:t>
            </w:r>
          </w:p>
        </w:tc>
        <w:tc>
          <w:tcPr>
            <w:tcW w:type="dxa" w:w="3097"/>
          </w:tcPr>
          <w:p>
            <w:r>
              <w:rPr>
                <w:rFonts w:ascii="微软雅黑" w:hAnsi="微软雅黑" w:eastAsia="微软雅黑"/>
                <w:b w:val="0"/>
                <w:color w:val="222A33"/>
                <w:sz w:val="21"/>
              </w:rPr>
              <w:t>接待单位致辞，发放手册与日程</w:t>
            </w:r>
          </w:p>
        </w:tc>
      </w:tr>
      <w:tr>
        <w:tc>
          <w:tcPr>
            <w:tcW w:type="dxa" w:w="3097"/>
          </w:tcPr>
          <w:p>
            <w:r>
              <w:rPr>
                <w:rFonts w:ascii="微软雅黑" w:hAnsi="微软雅黑" w:eastAsia="微软雅黑"/>
                <w:b w:val="0"/>
                <w:color w:val="222A33"/>
                <w:sz w:val="21"/>
              </w:rPr>
              <w:t>11:00–12:00</w:t>
            </w:r>
          </w:p>
        </w:tc>
        <w:tc>
          <w:tcPr>
            <w:tcW w:type="dxa" w:w="3097"/>
          </w:tcPr>
          <w:p>
            <w:r>
              <w:rPr>
                <w:rFonts w:ascii="微软雅黑" w:hAnsi="微软雅黑" w:eastAsia="微软雅黑"/>
                <w:b w:val="0"/>
                <w:color w:val="222A33"/>
                <w:sz w:val="21"/>
              </w:rPr>
              <w:t>开发区概况与招商政策介绍</w:t>
            </w:r>
          </w:p>
        </w:tc>
        <w:tc>
          <w:tcPr>
            <w:tcW w:type="dxa" w:w="3097"/>
          </w:tcPr>
          <w:p>
            <w:r>
              <w:rPr>
                <w:rFonts w:ascii="微软雅黑" w:hAnsi="微软雅黑" w:eastAsia="微软雅黑"/>
                <w:b w:val="0"/>
                <w:color w:val="222A33"/>
                <w:sz w:val="21"/>
              </w:rPr>
              <w:t>主导产业、载体资源、支持政策宣讲</w:t>
            </w:r>
          </w:p>
        </w:tc>
      </w:tr>
      <w:tr>
        <w:tc>
          <w:tcPr>
            <w:tcW w:type="dxa" w:w="3097"/>
          </w:tcPr>
          <w:p>
            <w:r>
              <w:rPr>
                <w:rFonts w:ascii="微软雅黑" w:hAnsi="微软雅黑" w:eastAsia="微软雅黑"/>
                <w:b w:val="0"/>
                <w:color w:val="222A33"/>
                <w:sz w:val="21"/>
              </w:rPr>
              <w:t>12:00–13:30</w:t>
            </w:r>
          </w:p>
        </w:tc>
        <w:tc>
          <w:tcPr>
            <w:tcW w:type="dxa" w:w="3097"/>
          </w:tcPr>
          <w:p>
            <w:r>
              <w:rPr>
                <w:rFonts w:ascii="微软雅黑" w:hAnsi="微软雅黑" w:eastAsia="微软雅黑"/>
                <w:b w:val="0"/>
                <w:color w:val="222A33"/>
                <w:sz w:val="21"/>
              </w:rPr>
              <w:t>工作午餐</w:t>
            </w:r>
          </w:p>
        </w:tc>
        <w:tc>
          <w:tcPr>
            <w:tcW w:type="dxa" w:w="3097"/>
          </w:tcPr>
          <w:p>
            <w:r>
              <w:rPr>
                <w:rFonts w:ascii="微软雅黑" w:hAnsi="微软雅黑" w:eastAsia="微软雅黑"/>
                <w:b w:val="0"/>
                <w:color w:val="222A33"/>
                <w:sz w:val="21"/>
              </w:rPr>
              <w:t>与投促干部、企业代表交流</w:t>
            </w:r>
          </w:p>
        </w:tc>
      </w:tr>
      <w:tr>
        <w:tc>
          <w:tcPr>
            <w:tcW w:type="dxa" w:w="3097"/>
          </w:tcPr>
          <w:p>
            <w:r>
              <w:rPr>
                <w:rFonts w:ascii="微软雅黑" w:hAnsi="微软雅黑" w:eastAsia="微软雅黑"/>
                <w:b w:val="0"/>
                <w:color w:val="222A33"/>
                <w:sz w:val="21"/>
              </w:rPr>
              <w:t>13:30–15:30</w:t>
            </w:r>
          </w:p>
        </w:tc>
        <w:tc>
          <w:tcPr>
            <w:tcW w:type="dxa" w:w="3097"/>
          </w:tcPr>
          <w:p>
            <w:r>
              <w:rPr>
                <w:rFonts w:ascii="微软雅黑" w:hAnsi="微软雅黑" w:eastAsia="微软雅黑"/>
                <w:b w:val="0"/>
                <w:color w:val="222A33"/>
                <w:sz w:val="21"/>
              </w:rPr>
              <w:t>宁波港 / 临港片区参访</w:t>
            </w:r>
          </w:p>
        </w:tc>
        <w:tc>
          <w:tcPr>
            <w:tcW w:type="dxa" w:w="3097"/>
          </w:tcPr>
          <w:p>
            <w:r>
              <w:rPr>
                <w:rFonts w:ascii="微软雅黑" w:hAnsi="微软雅黑" w:eastAsia="微软雅黑"/>
                <w:b w:val="0"/>
                <w:color w:val="222A33"/>
                <w:sz w:val="21"/>
              </w:rPr>
              <w:t>港口枢纽、物流与临港产业现场讲解</w:t>
            </w:r>
          </w:p>
        </w:tc>
      </w:tr>
      <w:tr>
        <w:tc>
          <w:tcPr>
            <w:tcW w:type="dxa" w:w="3097"/>
          </w:tcPr>
          <w:p>
            <w:r>
              <w:rPr>
                <w:rFonts w:ascii="微软雅黑" w:hAnsi="微软雅黑" w:eastAsia="微软雅黑"/>
                <w:b w:val="0"/>
                <w:color w:val="222A33"/>
                <w:sz w:val="21"/>
              </w:rPr>
              <w:t>15:45–17:15</w:t>
            </w:r>
          </w:p>
        </w:tc>
        <w:tc>
          <w:tcPr>
            <w:tcW w:type="dxa" w:w="3097"/>
          </w:tcPr>
          <w:p>
            <w:r>
              <w:rPr>
                <w:rFonts w:ascii="微软雅黑" w:hAnsi="微软雅黑" w:eastAsia="微软雅黑"/>
                <w:b w:val="0"/>
                <w:color w:val="222A33"/>
                <w:sz w:val="21"/>
              </w:rPr>
              <w:t>特色企业 / 科技园区参访</w:t>
            </w:r>
          </w:p>
        </w:tc>
        <w:tc>
          <w:tcPr>
            <w:tcW w:type="dxa" w:w="3097"/>
          </w:tcPr>
          <w:p>
            <w:r>
              <w:rPr>
                <w:rFonts w:ascii="微软雅黑" w:hAnsi="微软雅黑" w:eastAsia="微软雅黑"/>
                <w:b w:val="0"/>
                <w:color w:val="222A33"/>
                <w:sz w:val="21"/>
              </w:rPr>
              <w:t>先进制造、新材料或数字经济标杆企业</w:t>
            </w:r>
          </w:p>
        </w:tc>
      </w:tr>
      <w:tr>
        <w:tc>
          <w:tcPr>
            <w:tcW w:type="dxa" w:w="3097"/>
          </w:tcPr>
          <w:p>
            <w:r>
              <w:rPr>
                <w:rFonts w:ascii="微软雅黑" w:hAnsi="微软雅黑" w:eastAsia="微软雅黑"/>
                <w:b w:val="0"/>
                <w:color w:val="222A33"/>
                <w:sz w:val="21"/>
              </w:rPr>
              <w:t>17:30–18:30</w:t>
            </w:r>
          </w:p>
        </w:tc>
        <w:tc>
          <w:tcPr>
            <w:tcW w:type="dxa" w:w="3097"/>
          </w:tcPr>
          <w:p>
            <w:r>
              <w:rPr>
                <w:rFonts w:ascii="微软雅黑" w:hAnsi="微软雅黑" w:eastAsia="微软雅黑"/>
                <w:b w:val="0"/>
                <w:color w:val="222A33"/>
                <w:sz w:val="21"/>
              </w:rPr>
              <w:t>座谈交流 · 合作意向对接</w:t>
            </w:r>
          </w:p>
        </w:tc>
        <w:tc>
          <w:tcPr>
            <w:tcW w:type="dxa" w:w="3097"/>
          </w:tcPr>
          <w:p>
            <w:r>
              <w:rPr>
                <w:rFonts w:ascii="微软雅黑" w:hAnsi="微软雅黑" w:eastAsia="微软雅黑"/>
                <w:b w:val="0"/>
                <w:color w:val="222A33"/>
                <w:sz w:val="21"/>
              </w:rPr>
              <w:t>招商引资、产业导入、孵化与投资议题</w:t>
            </w:r>
          </w:p>
        </w:tc>
      </w:tr>
      <w:tr>
        <w:tc>
          <w:tcPr>
            <w:tcW w:type="dxa" w:w="3097"/>
          </w:tcPr>
          <w:p>
            <w:r>
              <w:rPr>
                <w:rFonts w:ascii="微软雅黑" w:hAnsi="微软雅黑" w:eastAsia="微软雅黑"/>
                <w:b w:val="0"/>
                <w:color w:val="222A33"/>
                <w:sz w:val="21"/>
              </w:rPr>
              <w:t>18:30 后</w:t>
            </w:r>
          </w:p>
        </w:tc>
        <w:tc>
          <w:tcPr>
            <w:tcW w:type="dxa" w:w="3097"/>
          </w:tcPr>
          <w:p>
            <w:r>
              <w:rPr>
                <w:rFonts w:ascii="微软雅黑" w:hAnsi="微软雅黑" w:eastAsia="微软雅黑"/>
                <w:b w:val="0"/>
                <w:color w:val="222A33"/>
                <w:sz w:val="21"/>
              </w:rPr>
              <w:t>返程或晚宴（视方案）</w:t>
            </w:r>
          </w:p>
        </w:tc>
        <w:tc>
          <w:tcPr>
            <w:tcW w:type="dxa" w:w="3097"/>
          </w:tcPr>
          <w:p>
            <w:r>
              <w:rPr>
                <w:rFonts w:ascii="微软雅黑" w:hAnsi="微软雅黑" w:eastAsia="微软雅黑"/>
                <w:b w:val="0"/>
                <w:color w:val="222A33"/>
                <w:sz w:val="21"/>
              </w:rPr>
              <w:t>一日行返沪；两日行安排欢迎晚宴</w:t>
            </w:r>
          </w:p>
        </w:tc>
      </w:tr>
    </w:tbl>
    <w:p>
      <w:pPr>
        <w:spacing w:after="120" w:before="0"/>
      </w:pPr>
      <w:r>
        <w:rPr>
          <w:rFonts w:ascii="微软雅黑" w:hAnsi="微软雅黑" w:eastAsia="微软雅黑"/>
          <w:b w:val="0"/>
          <w:sz w:val="12"/>
        </w:rPr>
      </w:r>
    </w:p>
    <w:p>
      <w:pPr>
        <w:spacing w:before="200" w:after="160"/>
      </w:pPr>
      <w:r>
        <w:rPr>
          <w:rFonts w:ascii="微软雅黑" w:hAnsi="微软雅黑" w:eastAsia="微软雅黑"/>
          <w:b/>
          <w:color w:val="0B3D5C"/>
          <w:sz w:val="27"/>
        </w:rPr>
        <w:t>6.2 第二日（两日行加深对接，推荐）</w:t>
      </w:r>
    </w:p>
    <w:tbl>
      <w:tblPr>
        <w:tblStyle w:val="TableGrid"/>
        <w:tblW w:type="auto" w:w="0"/>
        <w:jc w:val="center"/>
        <w:tblLook w:firstColumn="1" w:firstRow="1" w:lastColumn="0" w:lastRow="0" w:noHBand="0" w:noVBand="1" w:val="04A0"/>
      </w:tblPr>
      <w:tblGrid>
        <w:gridCol w:w="3097"/>
        <w:gridCol w:w="3097"/>
        <w:gridCol w:w="3097"/>
      </w:tblGrid>
      <w:tr>
        <w:tc>
          <w:tcPr>
            <w:tcW w:type="dxa" w:w="3097"/>
            <w:shd w:val="clear" w:fill="0B3D5C"/>
          </w:tcPr>
          <w:p>
            <w:r>
              <w:rPr>
                <w:rFonts w:ascii="微软雅黑" w:hAnsi="微软雅黑" w:eastAsia="微软雅黑"/>
                <w:b/>
                <w:color w:val="FFFFFF"/>
                <w:sz w:val="21"/>
              </w:rPr>
              <w:t>时间</w:t>
            </w:r>
          </w:p>
        </w:tc>
        <w:tc>
          <w:tcPr>
            <w:tcW w:type="dxa" w:w="3097"/>
            <w:shd w:val="clear" w:fill="0B3D5C"/>
          </w:tcPr>
          <w:p>
            <w:r>
              <w:rPr>
                <w:rFonts w:ascii="微软雅黑" w:hAnsi="微软雅黑" w:eastAsia="微软雅黑"/>
                <w:b/>
                <w:color w:val="FFFFFF"/>
                <w:sz w:val="21"/>
              </w:rPr>
              <w:t>事项</w:t>
            </w:r>
          </w:p>
        </w:tc>
        <w:tc>
          <w:tcPr>
            <w:tcW w:type="dxa" w:w="3097"/>
            <w:shd w:val="clear" w:fill="0B3D5C"/>
          </w:tcPr>
          <w:p>
            <w:r>
              <w:rPr>
                <w:rFonts w:ascii="微软雅黑" w:hAnsi="微软雅黑" w:eastAsia="微软雅黑"/>
                <w:b/>
                <w:color w:val="FFFFFF"/>
                <w:sz w:val="21"/>
              </w:rPr>
              <w:t>说明</w:t>
            </w:r>
          </w:p>
        </w:tc>
      </w:tr>
      <w:tr>
        <w:tc>
          <w:tcPr>
            <w:tcW w:type="dxa" w:w="3097"/>
          </w:tcPr>
          <w:p>
            <w:r>
              <w:rPr>
                <w:rFonts w:ascii="微软雅黑" w:hAnsi="微软雅黑" w:eastAsia="微软雅黑"/>
                <w:b w:val="0"/>
                <w:color w:val="222A33"/>
                <w:sz w:val="21"/>
              </w:rPr>
              <w:t>09:00–10:30</w:t>
            </w:r>
          </w:p>
        </w:tc>
        <w:tc>
          <w:tcPr>
            <w:tcW w:type="dxa" w:w="3097"/>
          </w:tcPr>
          <w:p>
            <w:r>
              <w:rPr>
                <w:rFonts w:ascii="微软雅黑" w:hAnsi="微软雅黑" w:eastAsia="微软雅黑"/>
                <w:b w:val="0"/>
                <w:color w:val="222A33"/>
                <w:sz w:val="21"/>
              </w:rPr>
              <w:t>科技孵化载体参访</w:t>
            </w:r>
          </w:p>
        </w:tc>
        <w:tc>
          <w:tcPr>
            <w:tcW w:type="dxa" w:w="3097"/>
          </w:tcPr>
          <w:p>
            <w:r>
              <w:rPr>
                <w:rFonts w:ascii="微软雅黑" w:hAnsi="微软雅黑" w:eastAsia="微软雅黑"/>
                <w:b w:val="0"/>
                <w:color w:val="222A33"/>
                <w:sz w:val="21"/>
              </w:rPr>
              <w:t>孵化器 / 加速器 / 特色产业园</w:t>
            </w:r>
          </w:p>
        </w:tc>
      </w:tr>
      <w:tr>
        <w:tc>
          <w:tcPr>
            <w:tcW w:type="dxa" w:w="3097"/>
          </w:tcPr>
          <w:p>
            <w:r>
              <w:rPr>
                <w:rFonts w:ascii="微软雅黑" w:hAnsi="微软雅黑" w:eastAsia="微软雅黑"/>
                <w:b w:val="0"/>
                <w:color w:val="222A33"/>
                <w:sz w:val="21"/>
              </w:rPr>
              <w:t>10:45–12:00</w:t>
            </w:r>
          </w:p>
        </w:tc>
        <w:tc>
          <w:tcPr>
            <w:tcW w:type="dxa" w:w="3097"/>
          </w:tcPr>
          <w:p>
            <w:r>
              <w:rPr>
                <w:rFonts w:ascii="微软雅黑" w:hAnsi="微软雅黑" w:eastAsia="微软雅黑"/>
                <w:b w:val="0"/>
                <w:color w:val="222A33"/>
                <w:sz w:val="21"/>
              </w:rPr>
              <w:t>第二家特色企业深度交流</w:t>
            </w:r>
          </w:p>
        </w:tc>
        <w:tc>
          <w:tcPr>
            <w:tcW w:type="dxa" w:w="3097"/>
          </w:tcPr>
          <w:p>
            <w:r>
              <w:rPr>
                <w:rFonts w:ascii="微软雅黑" w:hAnsi="微软雅黑" w:eastAsia="微软雅黑"/>
                <w:b w:val="0"/>
                <w:color w:val="222A33"/>
                <w:sz w:val="21"/>
              </w:rPr>
              <w:t>产能、技术与合作场景对接</w:t>
            </w:r>
          </w:p>
        </w:tc>
      </w:tr>
      <w:tr>
        <w:tc>
          <w:tcPr>
            <w:tcW w:type="dxa" w:w="3097"/>
          </w:tcPr>
          <w:p>
            <w:r>
              <w:rPr>
                <w:rFonts w:ascii="微软雅黑" w:hAnsi="微软雅黑" w:eastAsia="微软雅黑"/>
                <w:b w:val="0"/>
                <w:color w:val="222A33"/>
                <w:sz w:val="21"/>
              </w:rPr>
              <w:t>12:00–13:30</w:t>
            </w:r>
          </w:p>
        </w:tc>
        <w:tc>
          <w:tcPr>
            <w:tcW w:type="dxa" w:w="3097"/>
          </w:tcPr>
          <w:p>
            <w:r>
              <w:rPr>
                <w:rFonts w:ascii="微软雅黑" w:hAnsi="微软雅黑" w:eastAsia="微软雅黑"/>
                <w:b w:val="0"/>
                <w:color w:val="222A33"/>
                <w:sz w:val="21"/>
              </w:rPr>
              <w:t>工作午餐</w:t>
            </w:r>
          </w:p>
        </w:tc>
        <w:tc>
          <w:tcPr>
            <w:tcW w:type="dxa" w:w="3097"/>
          </w:tcPr>
          <w:p>
            <w:r>
              <w:rPr>
                <w:rFonts w:ascii="微软雅黑" w:hAnsi="微软雅黑" w:eastAsia="微软雅黑"/>
                <w:b w:val="0"/>
                <w:color w:val="222A33"/>
                <w:sz w:val="21"/>
              </w:rPr>
              <w:t>分组交流</w:t>
            </w:r>
          </w:p>
        </w:tc>
      </w:tr>
      <w:tr>
        <w:tc>
          <w:tcPr>
            <w:tcW w:type="dxa" w:w="3097"/>
          </w:tcPr>
          <w:p>
            <w:r>
              <w:rPr>
                <w:rFonts w:ascii="微软雅黑" w:hAnsi="微软雅黑" w:eastAsia="微软雅黑"/>
                <w:b w:val="0"/>
                <w:color w:val="222A33"/>
                <w:sz w:val="21"/>
              </w:rPr>
              <w:t>13:30–15:30</w:t>
            </w:r>
          </w:p>
        </w:tc>
        <w:tc>
          <w:tcPr>
            <w:tcW w:type="dxa" w:w="3097"/>
          </w:tcPr>
          <w:p>
            <w:r>
              <w:rPr>
                <w:rFonts w:ascii="微软雅黑" w:hAnsi="微软雅黑" w:eastAsia="微软雅黑"/>
                <w:b w:val="0"/>
                <w:color w:val="222A33"/>
                <w:sz w:val="21"/>
              </w:rPr>
              <w:t>PE/VC · CVC 闭门投洽会</w:t>
            </w:r>
          </w:p>
        </w:tc>
        <w:tc>
          <w:tcPr>
            <w:tcW w:type="dxa" w:w="3097"/>
          </w:tcPr>
          <w:p>
            <w:r>
              <w:rPr>
                <w:rFonts w:ascii="微软雅黑" w:hAnsi="微软雅黑" w:eastAsia="微软雅黑"/>
                <w:b w:val="0"/>
                <w:color w:val="222A33"/>
                <w:sz w:val="21"/>
              </w:rPr>
              <w:t>项目路演或一对一对接（可选）</w:t>
            </w:r>
          </w:p>
        </w:tc>
      </w:tr>
      <w:tr>
        <w:tc>
          <w:tcPr>
            <w:tcW w:type="dxa" w:w="3097"/>
          </w:tcPr>
          <w:p>
            <w:r>
              <w:rPr>
                <w:rFonts w:ascii="微软雅黑" w:hAnsi="微软雅黑" w:eastAsia="微软雅黑"/>
                <w:b w:val="0"/>
                <w:color w:val="222A33"/>
                <w:sz w:val="21"/>
              </w:rPr>
              <w:t>15:30–16:30</w:t>
            </w:r>
          </w:p>
        </w:tc>
        <w:tc>
          <w:tcPr>
            <w:tcW w:type="dxa" w:w="3097"/>
          </w:tcPr>
          <w:p>
            <w:r>
              <w:rPr>
                <w:rFonts w:ascii="微软雅黑" w:hAnsi="微软雅黑" w:eastAsia="微软雅黑"/>
                <w:b w:val="0"/>
                <w:color w:val="222A33"/>
                <w:sz w:val="21"/>
              </w:rPr>
              <w:t>总结座谈 · 合作备忘</w:t>
            </w:r>
          </w:p>
        </w:tc>
        <w:tc>
          <w:tcPr>
            <w:tcW w:type="dxa" w:w="3097"/>
          </w:tcPr>
          <w:p>
            <w:r>
              <w:rPr>
                <w:rFonts w:ascii="微软雅黑" w:hAnsi="微软雅黑" w:eastAsia="微软雅黑"/>
                <w:b w:val="0"/>
                <w:color w:val="222A33"/>
                <w:sz w:val="21"/>
              </w:rPr>
              <w:t>梳理线索、明确跟进人与时间表</w:t>
            </w:r>
          </w:p>
        </w:tc>
      </w:tr>
      <w:tr>
        <w:tc>
          <w:tcPr>
            <w:tcW w:type="dxa" w:w="3097"/>
          </w:tcPr>
          <w:p>
            <w:r>
              <w:rPr>
                <w:rFonts w:ascii="微软雅黑" w:hAnsi="微软雅黑" w:eastAsia="微软雅黑"/>
                <w:b w:val="0"/>
                <w:color w:val="222A33"/>
                <w:sz w:val="21"/>
              </w:rPr>
              <w:t>16:30 后</w:t>
            </w:r>
          </w:p>
        </w:tc>
        <w:tc>
          <w:tcPr>
            <w:tcW w:type="dxa" w:w="3097"/>
          </w:tcPr>
          <w:p>
            <w:r>
              <w:rPr>
                <w:rFonts w:ascii="微软雅黑" w:hAnsi="微软雅黑" w:eastAsia="微软雅黑"/>
                <w:b w:val="0"/>
                <w:color w:val="222A33"/>
                <w:sz w:val="21"/>
              </w:rPr>
              <w:t>返程上海</w:t>
            </w:r>
          </w:p>
        </w:tc>
        <w:tc>
          <w:tcPr>
            <w:tcW w:type="dxa" w:w="3097"/>
          </w:tcPr>
          <w:p>
            <w:r>
              <w:rPr>
                <w:rFonts w:ascii="微软雅黑" w:hAnsi="微软雅黑" w:eastAsia="微软雅黑"/>
                <w:b w:val="0"/>
                <w:color w:val="222A33"/>
                <w:sz w:val="21"/>
              </w:rPr>
              <w:t>行程结束</w:t>
            </w:r>
          </w:p>
        </w:tc>
      </w:tr>
    </w:tbl>
    <w:p>
      <w:pPr>
        <w:spacing w:after="120" w:before="0"/>
      </w:pPr>
      <w:r>
        <w:rPr>
          <w:rFonts w:ascii="微软雅黑" w:hAnsi="微软雅黑" w:eastAsia="微软雅黑"/>
          <w:b w:val="0"/>
          <w:sz w:val="12"/>
        </w:rPr>
      </w:r>
    </w:p>
    <w:p>
      <w:pPr>
        <w:spacing w:before="200" w:after="160"/>
      </w:pPr>
      <w:r>
        <w:rPr>
          <w:rFonts w:ascii="微软雅黑" w:hAnsi="微软雅黑" w:eastAsia="微软雅黑"/>
          <w:b/>
          <w:color w:val="0B3D5C"/>
          <w:sz w:val="27"/>
        </w:rPr>
        <w:t>6.3 建议参访与对接点</w:t>
      </w:r>
    </w:p>
    <w:tbl>
      <w:tblPr>
        <w:tblStyle w:val="TableGrid"/>
        <w:tblW w:type="auto" w:w="0"/>
        <w:jc w:val="center"/>
        <w:tblLook w:firstColumn="1" w:firstRow="1" w:lastColumn="0" w:lastRow="0" w:noHBand="0" w:noVBand="1" w:val="04A0"/>
      </w:tblPr>
      <w:tblGrid>
        <w:gridCol w:w="4646"/>
        <w:gridCol w:w="4646"/>
      </w:tblGrid>
      <w:tr>
        <w:tc>
          <w:tcPr>
            <w:tcW w:type="dxa" w:w="4646"/>
            <w:shd w:val="clear" w:fill="0B3D5C"/>
          </w:tcPr>
          <w:p>
            <w:r>
              <w:rPr>
                <w:rFonts w:ascii="微软雅黑" w:hAnsi="微软雅黑" w:eastAsia="微软雅黑"/>
                <w:b/>
                <w:color w:val="FFFFFF"/>
                <w:sz w:val="21"/>
              </w:rPr>
              <w:t>建议点位</w:t>
            </w:r>
          </w:p>
        </w:tc>
        <w:tc>
          <w:tcPr>
            <w:tcW w:type="dxa" w:w="4646"/>
            <w:shd w:val="clear" w:fill="0B3D5C"/>
          </w:tcPr>
          <w:p>
            <w:r>
              <w:rPr>
                <w:rFonts w:ascii="微软雅黑" w:hAnsi="微软雅黑" w:eastAsia="微软雅黑"/>
                <w:b/>
                <w:color w:val="FFFFFF"/>
                <w:sz w:val="21"/>
              </w:rPr>
              <w:t>交流重点</w:t>
            </w:r>
          </w:p>
        </w:tc>
      </w:tr>
      <w:tr>
        <w:tc>
          <w:tcPr>
            <w:tcW w:type="dxa" w:w="4646"/>
          </w:tcPr>
          <w:p>
            <w:r>
              <w:rPr>
                <w:rFonts w:ascii="微软雅黑" w:hAnsi="微软雅黑" w:eastAsia="微软雅黑"/>
                <w:b w:val="0"/>
                <w:color w:val="222A33"/>
                <w:sz w:val="21"/>
              </w:rPr>
              <w:t>宁波港相关设施 / 展示中心</w:t>
            </w:r>
          </w:p>
        </w:tc>
        <w:tc>
          <w:tcPr>
            <w:tcW w:type="dxa" w:w="4646"/>
          </w:tcPr>
          <w:p>
            <w:r>
              <w:rPr>
                <w:rFonts w:ascii="微软雅黑" w:hAnsi="微软雅黑" w:eastAsia="微软雅黑"/>
                <w:b w:val="0"/>
                <w:color w:val="222A33"/>
                <w:sz w:val="21"/>
              </w:rPr>
              <w:t>港口枢纽能力、开放平台与航运服务</w:t>
            </w:r>
          </w:p>
        </w:tc>
      </w:tr>
      <w:tr>
        <w:tc>
          <w:tcPr>
            <w:tcW w:type="dxa" w:w="4646"/>
          </w:tcPr>
          <w:p>
            <w:r>
              <w:rPr>
                <w:rFonts w:ascii="微软雅黑" w:hAnsi="微软雅黑" w:eastAsia="微软雅黑"/>
                <w:b w:val="0"/>
                <w:color w:val="222A33"/>
                <w:sz w:val="21"/>
              </w:rPr>
              <w:t>宁波经济技术开发区重点产业园区</w:t>
            </w:r>
          </w:p>
        </w:tc>
        <w:tc>
          <w:tcPr>
            <w:tcW w:type="dxa" w:w="4646"/>
          </w:tcPr>
          <w:p>
            <w:r>
              <w:rPr>
                <w:rFonts w:ascii="微软雅黑" w:hAnsi="微软雅黑" w:eastAsia="微软雅黑"/>
                <w:b w:val="0"/>
                <w:color w:val="222A33"/>
                <w:sz w:val="21"/>
              </w:rPr>
              <w:t>主导产业集聚区、标准厂房与科创载体</w:t>
            </w:r>
          </w:p>
        </w:tc>
      </w:tr>
      <w:tr>
        <w:tc>
          <w:tcPr>
            <w:tcW w:type="dxa" w:w="4646"/>
          </w:tcPr>
          <w:p>
            <w:r>
              <w:rPr>
                <w:rFonts w:ascii="微软雅黑" w:hAnsi="微软雅黑" w:eastAsia="微软雅黑"/>
                <w:b w:val="0"/>
                <w:color w:val="222A33"/>
                <w:sz w:val="21"/>
              </w:rPr>
              <w:t>当地特色先进制造 / 新材料企业</w:t>
            </w:r>
          </w:p>
        </w:tc>
        <w:tc>
          <w:tcPr>
            <w:tcW w:type="dxa" w:w="4646"/>
          </w:tcPr>
          <w:p>
            <w:r>
              <w:rPr>
                <w:rFonts w:ascii="微软雅黑" w:hAnsi="微软雅黑" w:eastAsia="微软雅黑"/>
                <w:b w:val="0"/>
                <w:color w:val="222A33"/>
                <w:sz w:val="21"/>
              </w:rPr>
              <w:t>产能、供应链与沪企合作场景</w:t>
            </w:r>
          </w:p>
        </w:tc>
      </w:tr>
      <w:tr>
        <w:tc>
          <w:tcPr>
            <w:tcW w:type="dxa" w:w="4646"/>
          </w:tcPr>
          <w:p>
            <w:r>
              <w:rPr>
                <w:rFonts w:ascii="微软雅黑" w:hAnsi="微软雅黑" w:eastAsia="微软雅黑"/>
                <w:b w:val="0"/>
                <w:color w:val="222A33"/>
                <w:sz w:val="21"/>
              </w:rPr>
              <w:t>科技企业孵化器 / 加速器</w:t>
            </w:r>
          </w:p>
        </w:tc>
        <w:tc>
          <w:tcPr>
            <w:tcW w:type="dxa" w:w="4646"/>
          </w:tcPr>
          <w:p>
            <w:r>
              <w:rPr>
                <w:rFonts w:ascii="微软雅黑" w:hAnsi="微软雅黑" w:eastAsia="微软雅黑"/>
                <w:b w:val="0"/>
                <w:color w:val="222A33"/>
                <w:sz w:val="21"/>
              </w:rPr>
              <w:t>孵化体系、优惠政策与落地服务</w:t>
            </w:r>
          </w:p>
        </w:tc>
      </w:tr>
      <w:tr>
        <w:tc>
          <w:tcPr>
            <w:tcW w:type="dxa" w:w="4646"/>
          </w:tcPr>
          <w:p>
            <w:r>
              <w:rPr>
                <w:rFonts w:ascii="微软雅黑" w:hAnsi="微软雅黑" w:eastAsia="微软雅黑"/>
                <w:b w:val="0"/>
                <w:color w:val="222A33"/>
                <w:sz w:val="21"/>
              </w:rPr>
              <w:t>投促座谈与项目对接会场</w:t>
            </w:r>
          </w:p>
        </w:tc>
        <w:tc>
          <w:tcPr>
            <w:tcW w:type="dxa" w:w="4646"/>
          </w:tcPr>
          <w:p>
            <w:r>
              <w:rPr>
                <w:rFonts w:ascii="微软雅黑" w:hAnsi="微软雅黑" w:eastAsia="微软雅黑"/>
                <w:b w:val="0"/>
                <w:color w:val="222A33"/>
                <w:sz w:val="21"/>
              </w:rPr>
              <w:t>政策宣讲、企业交流与投洽对接</w:t>
            </w:r>
          </w:p>
        </w:tc>
      </w:tr>
    </w:tbl>
    <w:p>
      <w:pPr>
        <w:spacing w:after="120" w:before="0"/>
      </w:pPr>
      <w:r>
        <w:rPr>
          <w:rFonts w:ascii="微软雅黑" w:hAnsi="微软雅黑" w:eastAsia="微软雅黑"/>
          <w:b w:val="0"/>
          <w:sz w:val="12"/>
        </w:rPr>
      </w:r>
    </w:p>
    <w:p>
      <w:pPr>
        <w:spacing w:before="280" w:after="160"/>
      </w:pPr>
      <w:r>
        <w:rPr>
          <w:rFonts w:ascii="微软雅黑" w:hAnsi="微软雅黑" w:eastAsia="微软雅黑"/>
          <w:b/>
          <w:color w:val="0B3D5C"/>
          <w:sz w:val="32"/>
        </w:rPr>
        <w:t>七、预期成果与长效合作</w:t>
      </w:r>
    </w:p>
    <w:p>
      <w:pPr>
        <w:spacing w:before="200" w:after="160"/>
      </w:pPr>
      <w:r>
        <w:rPr>
          <w:rFonts w:ascii="微软雅黑" w:hAnsi="微软雅黑" w:eastAsia="微软雅黑"/>
          <w:b/>
          <w:color w:val="0B3D5C"/>
          <w:sz w:val="27"/>
        </w:rPr>
        <w:t>7.1 本次预期成果</w:t>
      </w:r>
    </w:p>
    <w:p>
      <w:pPr>
        <w:pStyle w:val="ListBullet"/>
        <w:spacing w:after="60"/>
      </w:pPr>
      <w:r>
        <w:rPr>
          <w:rFonts w:ascii="微软雅黑" w:hAnsi="微软雅黑" w:eastAsia="微软雅黑"/>
          <w:color w:val="222A33"/>
          <w:sz w:val="22"/>
        </w:rPr>
        <w:t>形成《宁波港及经开区考察交流纪要》与参访影像资料。</w:t>
      </w:r>
    </w:p>
    <w:p>
      <w:pPr>
        <w:pStyle w:val="ListBullet"/>
        <w:spacing w:after="60"/>
      </w:pPr>
      <w:r>
        <w:rPr>
          <w:rFonts w:ascii="微软雅黑" w:hAnsi="微软雅黑" w:eastAsia="微软雅黑"/>
          <w:color w:val="222A33"/>
          <w:sz w:val="22"/>
        </w:rPr>
        <w:t>形成企业 / 投资机构合作意向清单（项目线索库），明确责任人与跟进节点。</w:t>
      </w:r>
    </w:p>
    <w:p>
      <w:pPr>
        <w:pStyle w:val="ListBullet"/>
        <w:spacing w:after="60"/>
      </w:pPr>
      <w:r>
        <w:rPr>
          <w:rFonts w:ascii="微软雅黑" w:hAnsi="微软雅黑" w:eastAsia="微软雅黑"/>
          <w:color w:val="222A33"/>
          <w:sz w:val="22"/>
        </w:rPr>
        <w:t>推动 1–若干个可落地合作事项：企业考察回访、设立分支、产能合作、孵化入驻或投融资对接。</w:t>
      </w:r>
    </w:p>
    <w:p>
      <w:pPr>
        <w:pStyle w:val="ListBullet"/>
        <w:spacing w:after="60"/>
      </w:pPr>
      <w:r>
        <w:rPr>
          <w:rFonts w:ascii="微软雅黑" w:hAnsi="微软雅黑" w:eastAsia="微软雅黑"/>
          <w:color w:val="222A33"/>
          <w:sz w:val="22"/>
        </w:rPr>
        <w:t>建立组织方与宁波经济技术开发区投资促进局的常态化联络机制，约定后续双向交流频次。</w:t>
      </w:r>
    </w:p>
    <w:p>
      <w:pPr>
        <w:spacing w:before="200" w:after="160"/>
      </w:pPr>
      <w:r>
        <w:rPr>
          <w:rFonts w:ascii="微软雅黑" w:hAnsi="微软雅黑" w:eastAsia="微软雅黑"/>
          <w:b/>
          <w:color w:val="0B3D5C"/>
          <w:sz w:val="27"/>
        </w:rPr>
        <w:t>7.2 长效合作设想</w:t>
      </w:r>
    </w:p>
    <w:p>
      <w:pPr>
        <w:pStyle w:val="ListBullet"/>
        <w:spacing w:after="60"/>
      </w:pPr>
      <w:r>
        <w:rPr>
          <w:rFonts w:ascii="微软雅黑" w:hAnsi="微软雅黑" w:eastAsia="微软雅黑"/>
          <w:color w:val="222A33"/>
          <w:sz w:val="22"/>
        </w:rPr>
        <w:t>机制共建：探索“沪甬科技企业家定期互访 + 专题投促日”常态机制</w:t>
      </w:r>
    </w:p>
    <w:p>
      <w:pPr>
        <w:pStyle w:val="ListBullet"/>
        <w:spacing w:after="60"/>
      </w:pPr>
      <w:r>
        <w:rPr>
          <w:rFonts w:ascii="微软雅黑" w:hAnsi="微软雅黑" w:eastAsia="微软雅黑"/>
          <w:color w:val="222A33"/>
          <w:sz w:val="22"/>
        </w:rPr>
        <w:t>项目共推：共同筛选适配开发区产业方向的上海企业与校友项目</w:t>
      </w:r>
    </w:p>
    <w:p>
      <w:pPr>
        <w:pStyle w:val="ListBullet"/>
        <w:spacing w:after="60"/>
      </w:pPr>
      <w:r>
        <w:rPr>
          <w:rFonts w:ascii="微软雅黑" w:hAnsi="微软雅黑" w:eastAsia="微软雅黑"/>
          <w:color w:val="222A33"/>
          <w:sz w:val="22"/>
        </w:rPr>
        <w:t>资本协同：引入 PE/VC、CVC 关注当地优质项目，促进资本与产业双向奔赴</w:t>
      </w:r>
    </w:p>
    <w:p>
      <w:pPr>
        <w:pStyle w:val="ListBullet"/>
        <w:spacing w:after="60"/>
      </w:pPr>
      <w:r>
        <w:rPr>
          <w:rFonts w:ascii="微软雅黑" w:hAnsi="微软雅黑" w:eastAsia="微软雅黑"/>
          <w:color w:val="222A33"/>
          <w:sz w:val="22"/>
        </w:rPr>
        <w:t>品牌联动：在合规前提下开展联合活动、联合发布与案例宣传</w:t>
      </w:r>
    </w:p>
    <w:p>
      <w:pPr>
        <w:spacing w:before="280" w:after="160"/>
      </w:pPr>
      <w:r>
        <w:rPr>
          <w:rFonts w:ascii="微软雅黑" w:hAnsi="微软雅黑" w:eastAsia="微软雅黑"/>
          <w:b/>
          <w:color w:val="0B3D5C"/>
          <w:sz w:val="32"/>
        </w:rPr>
        <w:t>八、恳请接待单位支持事项</w:t>
      </w:r>
    </w:p>
    <w:p>
      <w:pPr>
        <w:spacing w:after="160" w:before="0"/>
        <w:ind w:firstLine="440"/>
      </w:pPr>
      <w:r>
        <w:rPr>
          <w:rFonts w:ascii="微软雅黑" w:hAnsi="微软雅黑" w:eastAsia="微软雅黑"/>
          <w:b w:val="0"/>
          <w:sz w:val="23"/>
        </w:rPr>
        <w:t>为保障考察交流顺利、高效、务实，恳请贵局在以下方面给予支持与指导：</w:t>
      </w:r>
    </w:p>
    <w:tbl>
      <w:tblPr>
        <w:tblStyle w:val="TableGrid"/>
        <w:tblW w:type="auto" w:w="0"/>
        <w:jc w:val="center"/>
        <w:tblLook w:firstColumn="1" w:firstRow="1" w:lastColumn="0" w:lastRow="0" w:noHBand="0" w:noVBand="1" w:val="04A0"/>
      </w:tblPr>
      <w:tblGrid>
        <w:gridCol w:w="4646"/>
        <w:gridCol w:w="4646"/>
      </w:tblGrid>
      <w:tr>
        <w:tc>
          <w:tcPr>
            <w:tcW w:type="dxa" w:w="4646"/>
            <w:shd w:val="clear" w:fill="0B3D5C"/>
          </w:tcPr>
          <w:p>
            <w:r>
              <w:rPr>
                <w:rFonts w:ascii="微软雅黑" w:hAnsi="微软雅黑" w:eastAsia="微软雅黑"/>
                <w:b/>
                <w:color w:val="FFFFFF"/>
                <w:sz w:val="21"/>
              </w:rPr>
              <w:t>支持事项</w:t>
            </w:r>
          </w:p>
        </w:tc>
        <w:tc>
          <w:tcPr>
            <w:tcW w:type="dxa" w:w="4646"/>
            <w:shd w:val="clear" w:fill="0B3D5C"/>
          </w:tcPr>
          <w:p>
            <w:r>
              <w:rPr>
                <w:rFonts w:ascii="微软雅黑" w:hAnsi="微软雅黑" w:eastAsia="微软雅黑"/>
                <w:b/>
                <w:color w:val="FFFFFF"/>
                <w:sz w:val="21"/>
              </w:rPr>
              <w:t>具体说明</w:t>
            </w:r>
          </w:p>
        </w:tc>
      </w:tr>
      <w:tr>
        <w:tc>
          <w:tcPr>
            <w:tcW w:type="dxa" w:w="4646"/>
          </w:tcPr>
          <w:p>
            <w:r>
              <w:rPr>
                <w:rFonts w:ascii="微软雅黑" w:hAnsi="微软雅黑" w:eastAsia="微软雅黑"/>
                <w:b w:val="0"/>
                <w:color w:val="222A33"/>
                <w:sz w:val="21"/>
              </w:rPr>
              <w:t>接待统筹</w:t>
            </w:r>
          </w:p>
        </w:tc>
        <w:tc>
          <w:tcPr>
            <w:tcW w:type="dxa" w:w="4646"/>
          </w:tcPr>
          <w:p>
            <w:r>
              <w:rPr>
                <w:rFonts w:ascii="微软雅黑" w:hAnsi="微软雅黑" w:eastAsia="微软雅黑"/>
                <w:b w:val="0"/>
                <w:color w:val="222A33"/>
                <w:sz w:val="21"/>
              </w:rPr>
              <w:t>指定对接人，统筹行程、车辆、会场与安全保障</w:t>
            </w:r>
          </w:p>
        </w:tc>
      </w:tr>
      <w:tr>
        <w:tc>
          <w:tcPr>
            <w:tcW w:type="dxa" w:w="4646"/>
          </w:tcPr>
          <w:p>
            <w:r>
              <w:rPr>
                <w:rFonts w:ascii="微软雅黑" w:hAnsi="微软雅黑" w:eastAsia="微软雅黑"/>
                <w:b w:val="0"/>
                <w:color w:val="222A33"/>
                <w:sz w:val="21"/>
              </w:rPr>
              <w:t>港口与企业协调</w:t>
            </w:r>
          </w:p>
        </w:tc>
        <w:tc>
          <w:tcPr>
            <w:tcW w:type="dxa" w:w="4646"/>
          </w:tcPr>
          <w:p>
            <w:r>
              <w:rPr>
                <w:rFonts w:ascii="微软雅黑" w:hAnsi="微软雅黑" w:eastAsia="微软雅黑"/>
                <w:b w:val="0"/>
                <w:color w:val="222A33"/>
                <w:sz w:val="21"/>
              </w:rPr>
              <w:t>协助安排宁波港参访及 2–4 家当地特色企业 / 园区开放接待</w:t>
            </w:r>
          </w:p>
        </w:tc>
      </w:tr>
      <w:tr>
        <w:tc>
          <w:tcPr>
            <w:tcW w:type="dxa" w:w="4646"/>
          </w:tcPr>
          <w:p>
            <w:r>
              <w:rPr>
                <w:rFonts w:ascii="微软雅黑" w:hAnsi="微软雅黑" w:eastAsia="微软雅黑"/>
                <w:b w:val="0"/>
                <w:color w:val="222A33"/>
                <w:sz w:val="21"/>
              </w:rPr>
              <w:t>政策与载体介绍</w:t>
            </w:r>
          </w:p>
        </w:tc>
        <w:tc>
          <w:tcPr>
            <w:tcW w:type="dxa" w:w="4646"/>
          </w:tcPr>
          <w:p>
            <w:r>
              <w:rPr>
                <w:rFonts w:ascii="微软雅黑" w:hAnsi="微软雅黑" w:eastAsia="微软雅黑"/>
                <w:b w:val="0"/>
                <w:color w:val="222A33"/>
                <w:sz w:val="21"/>
              </w:rPr>
              <w:t>安排招商政策、产业规划与可用载体的专题介绍</w:t>
            </w:r>
          </w:p>
        </w:tc>
      </w:tr>
      <w:tr>
        <w:tc>
          <w:tcPr>
            <w:tcW w:type="dxa" w:w="4646"/>
          </w:tcPr>
          <w:p>
            <w:r>
              <w:rPr>
                <w:rFonts w:ascii="微软雅黑" w:hAnsi="微软雅黑" w:eastAsia="微软雅黑"/>
                <w:b w:val="0"/>
                <w:color w:val="222A33"/>
                <w:sz w:val="21"/>
              </w:rPr>
              <w:t>座谈与投洽组织</w:t>
            </w:r>
          </w:p>
        </w:tc>
        <w:tc>
          <w:tcPr>
            <w:tcW w:type="dxa" w:w="4646"/>
          </w:tcPr>
          <w:p>
            <w:r>
              <w:rPr>
                <w:rFonts w:ascii="微软雅黑" w:hAnsi="微软雅黑" w:eastAsia="微软雅黑"/>
                <w:b w:val="0"/>
                <w:color w:val="222A33"/>
                <w:sz w:val="21"/>
              </w:rPr>
              <w:t>视日程安排组织投促干部、企业与投资相关方座谈或闭门对接</w:t>
            </w:r>
          </w:p>
        </w:tc>
      </w:tr>
      <w:tr>
        <w:tc>
          <w:tcPr>
            <w:tcW w:type="dxa" w:w="4646"/>
          </w:tcPr>
          <w:p>
            <w:r>
              <w:rPr>
                <w:rFonts w:ascii="微软雅黑" w:hAnsi="微软雅黑" w:eastAsia="微软雅黑"/>
                <w:b w:val="0"/>
                <w:color w:val="222A33"/>
                <w:sz w:val="21"/>
              </w:rPr>
              <w:t>资料支持</w:t>
            </w:r>
          </w:p>
        </w:tc>
        <w:tc>
          <w:tcPr>
            <w:tcW w:type="dxa" w:w="4646"/>
          </w:tcPr>
          <w:p>
            <w:r>
              <w:rPr>
                <w:rFonts w:ascii="微软雅黑" w:hAnsi="微软雅黑" w:eastAsia="微软雅黑"/>
                <w:b w:val="0"/>
                <w:color w:val="222A33"/>
                <w:sz w:val="21"/>
              </w:rPr>
              <w:t>提供开发区简介、产业图谱、招商手册及可公开的项目信息（如有）</w:t>
            </w:r>
          </w:p>
        </w:tc>
      </w:tr>
      <w:tr>
        <w:tc>
          <w:tcPr>
            <w:tcW w:type="dxa" w:w="4646"/>
          </w:tcPr>
          <w:p>
            <w:r>
              <w:rPr>
                <w:rFonts w:ascii="微软雅黑" w:hAnsi="微软雅黑" w:eastAsia="微软雅黑"/>
                <w:b w:val="0"/>
                <w:color w:val="222A33"/>
                <w:sz w:val="21"/>
              </w:rPr>
              <w:t>日程确认</w:t>
            </w:r>
          </w:p>
        </w:tc>
        <w:tc>
          <w:tcPr>
            <w:tcW w:type="dxa" w:w="4646"/>
          </w:tcPr>
          <w:p>
            <w:r>
              <w:rPr>
                <w:rFonts w:ascii="微软雅黑" w:hAnsi="微软雅黑" w:eastAsia="微软雅黑"/>
                <w:b w:val="0"/>
                <w:color w:val="222A33"/>
                <w:sz w:val="21"/>
              </w:rPr>
              <w:t>就 8–10 月窗口内具体日期、参访点与人数上限给予反馈建议</w:t>
            </w:r>
          </w:p>
        </w:tc>
      </w:tr>
    </w:tbl>
    <w:p>
      <w:pPr>
        <w:spacing w:after="120" w:before="0"/>
      </w:pPr>
      <w:r>
        <w:rPr>
          <w:rFonts w:ascii="微软雅黑" w:hAnsi="微软雅黑" w:eastAsia="微软雅黑"/>
          <w:b w:val="0"/>
          <w:sz w:val="12"/>
        </w:rPr>
      </w:r>
    </w:p>
    <w:p>
      <w:pPr>
        <w:spacing w:before="280" w:after="160"/>
      </w:pPr>
      <w:r>
        <w:rPr>
          <w:rFonts w:ascii="微软雅黑" w:hAnsi="微软雅黑" w:eastAsia="微软雅黑"/>
          <w:b/>
          <w:color w:val="0B3D5C"/>
          <w:sz w:val="32"/>
        </w:rPr>
        <w:t>九、费用与分工原则</w:t>
      </w:r>
    </w:p>
    <w:p>
      <w:pPr>
        <w:pStyle w:val="ListBullet"/>
        <w:spacing w:after="60"/>
      </w:pPr>
      <w:r>
        <w:rPr>
          <w:rFonts w:ascii="微软雅黑" w:hAnsi="微软雅黑" w:eastAsia="微软雅黑"/>
          <w:color w:val="222A33"/>
          <w:sz w:val="22"/>
        </w:rPr>
        <w:t>往返交通、住宿（如两日行）由组织方统筹、参与人员或组织方承担。</w:t>
      </w:r>
    </w:p>
    <w:p>
      <w:pPr>
        <w:pStyle w:val="ListBullet"/>
        <w:spacing w:after="60"/>
      </w:pPr>
      <w:r>
        <w:rPr>
          <w:rFonts w:ascii="微软雅黑" w:hAnsi="微软雅黑" w:eastAsia="微软雅黑"/>
          <w:color w:val="222A33"/>
          <w:sz w:val="22"/>
        </w:rPr>
        <w:t>开发区范围内接待、会场、参观协调等由接待单位按惯例安排，具体以双方协商为准。</w:t>
      </w:r>
    </w:p>
    <w:p>
      <w:pPr>
        <w:pStyle w:val="ListBullet"/>
        <w:spacing w:after="60"/>
      </w:pPr>
      <w:r>
        <w:rPr>
          <w:rFonts w:ascii="微软雅黑" w:hAnsi="微软雅黑" w:eastAsia="微软雅黑"/>
          <w:color w:val="222A33"/>
          <w:sz w:val="22"/>
        </w:rPr>
        <w:t>专项投洽、路演或大型对接如需额外场地与服务，双方提前确认费用分担。</w:t>
      </w:r>
    </w:p>
    <w:p>
      <w:pPr>
        <w:spacing w:before="280" w:after="160"/>
      </w:pPr>
      <w:r>
        <w:rPr>
          <w:rFonts w:ascii="微软雅黑" w:hAnsi="微软雅黑" w:eastAsia="微软雅黑"/>
          <w:b/>
          <w:color w:val="0B3D5C"/>
          <w:sz w:val="32"/>
        </w:rPr>
        <w:t>十、下一步工作安排</w:t>
      </w:r>
    </w:p>
    <w:tbl>
      <w:tblPr>
        <w:tblStyle w:val="TableGrid"/>
        <w:tblW w:type="auto" w:w="0"/>
        <w:jc w:val="center"/>
        <w:tblLook w:firstColumn="1" w:firstRow="1" w:lastColumn="0" w:lastRow="0" w:noHBand="0" w:noVBand="1" w:val="04A0"/>
      </w:tblPr>
      <w:tblGrid>
        <w:gridCol w:w="4646"/>
        <w:gridCol w:w="4646"/>
      </w:tblGrid>
      <w:tr>
        <w:tc>
          <w:tcPr>
            <w:tcW w:type="dxa" w:w="4646"/>
            <w:shd w:val="clear" w:fill="0B3D5C"/>
          </w:tcPr>
          <w:p>
            <w:r>
              <w:rPr>
                <w:rFonts w:ascii="微软雅黑" w:hAnsi="微软雅黑" w:eastAsia="微软雅黑"/>
                <w:b/>
                <w:color w:val="FFFFFF"/>
                <w:sz w:val="21"/>
              </w:rPr>
              <w:t>步骤</w:t>
            </w:r>
          </w:p>
        </w:tc>
        <w:tc>
          <w:tcPr>
            <w:tcW w:type="dxa" w:w="4646"/>
            <w:shd w:val="clear" w:fill="0B3D5C"/>
          </w:tcPr>
          <w:p>
            <w:r>
              <w:rPr>
                <w:rFonts w:ascii="微软雅黑" w:hAnsi="微软雅黑" w:eastAsia="微软雅黑"/>
                <w:b/>
                <w:color w:val="FFFFFF"/>
                <w:sz w:val="21"/>
              </w:rPr>
              <w:t>工作内容</w:t>
            </w:r>
          </w:p>
        </w:tc>
      </w:tr>
      <w:tr>
        <w:tc>
          <w:tcPr>
            <w:tcW w:type="dxa" w:w="4646"/>
          </w:tcPr>
          <w:p>
            <w:r>
              <w:rPr>
                <w:rFonts w:ascii="微软雅黑" w:hAnsi="微软雅黑" w:eastAsia="微软雅黑"/>
                <w:b w:val="0"/>
                <w:color w:val="222A33"/>
                <w:sz w:val="21"/>
              </w:rPr>
              <w:t>① 本策划案送达</w:t>
            </w:r>
          </w:p>
        </w:tc>
        <w:tc>
          <w:tcPr>
            <w:tcW w:type="dxa" w:w="4646"/>
          </w:tcPr>
          <w:p>
            <w:r>
              <w:rPr>
                <w:rFonts w:ascii="微软雅黑" w:hAnsi="微软雅黑" w:eastAsia="微软雅黑"/>
                <w:b w:val="0"/>
                <w:color w:val="222A33"/>
                <w:sz w:val="21"/>
              </w:rPr>
              <w:t>提交宁波经济技术开发区投资促进局审阅</w:t>
            </w:r>
          </w:p>
        </w:tc>
      </w:tr>
      <w:tr>
        <w:tc>
          <w:tcPr>
            <w:tcW w:type="dxa" w:w="4646"/>
          </w:tcPr>
          <w:p>
            <w:r>
              <w:rPr>
                <w:rFonts w:ascii="微软雅黑" w:hAnsi="微软雅黑" w:eastAsia="微软雅黑"/>
                <w:b w:val="0"/>
                <w:color w:val="222A33"/>
                <w:sz w:val="21"/>
              </w:rPr>
              <w:t>② 对接沟通</w:t>
            </w:r>
          </w:p>
        </w:tc>
        <w:tc>
          <w:tcPr>
            <w:tcW w:type="dxa" w:w="4646"/>
          </w:tcPr>
          <w:p>
            <w:r>
              <w:rPr>
                <w:rFonts w:ascii="微软雅黑" w:hAnsi="微软雅黑" w:eastAsia="微软雅黑"/>
                <w:b w:val="0"/>
                <w:color w:val="222A33"/>
                <w:sz w:val="21"/>
              </w:rPr>
              <w:t>双方确定窗口日期、行程深度（一日 / 两日）与参访意向点</w:t>
            </w:r>
          </w:p>
        </w:tc>
      </w:tr>
      <w:tr>
        <w:tc>
          <w:tcPr>
            <w:tcW w:type="dxa" w:w="4646"/>
          </w:tcPr>
          <w:p>
            <w:r>
              <w:rPr>
                <w:rFonts w:ascii="微软雅黑" w:hAnsi="微软雅黑" w:eastAsia="微软雅黑"/>
                <w:b w:val="0"/>
                <w:color w:val="222A33"/>
                <w:sz w:val="21"/>
              </w:rPr>
              <w:t>③ 人员确认</w:t>
            </w:r>
          </w:p>
        </w:tc>
        <w:tc>
          <w:tcPr>
            <w:tcW w:type="dxa" w:w="4646"/>
          </w:tcPr>
          <w:p>
            <w:r>
              <w:rPr>
                <w:rFonts w:ascii="微软雅黑" w:hAnsi="微软雅黑" w:eastAsia="微软雅黑"/>
                <w:b w:val="0"/>
                <w:color w:val="222A33"/>
                <w:sz w:val="21"/>
              </w:rPr>
              <w:t>组织方提交初步名单与需求问卷；接待单位反馈接待容量</w:t>
            </w:r>
          </w:p>
        </w:tc>
      </w:tr>
      <w:tr>
        <w:tc>
          <w:tcPr>
            <w:tcW w:type="dxa" w:w="4646"/>
          </w:tcPr>
          <w:p>
            <w:r>
              <w:rPr>
                <w:rFonts w:ascii="微软雅黑" w:hAnsi="微软雅黑" w:eastAsia="微软雅黑"/>
                <w:b w:val="0"/>
                <w:color w:val="222A33"/>
                <w:sz w:val="21"/>
              </w:rPr>
              <w:t>④ 正式行程锁定</w:t>
            </w:r>
          </w:p>
        </w:tc>
        <w:tc>
          <w:tcPr>
            <w:tcW w:type="dxa" w:w="4646"/>
          </w:tcPr>
          <w:p>
            <w:r>
              <w:rPr>
                <w:rFonts w:ascii="微软雅黑" w:hAnsi="微软雅黑" w:eastAsia="微软雅黑"/>
                <w:b w:val="0"/>
                <w:color w:val="222A33"/>
                <w:sz w:val="21"/>
              </w:rPr>
              <w:t>形成最终日程、参访企业名单与对接会议安排</w:t>
            </w:r>
          </w:p>
        </w:tc>
      </w:tr>
      <w:tr>
        <w:tc>
          <w:tcPr>
            <w:tcW w:type="dxa" w:w="4646"/>
          </w:tcPr>
          <w:p>
            <w:r>
              <w:rPr>
                <w:rFonts w:ascii="微软雅黑" w:hAnsi="微软雅黑" w:eastAsia="微软雅黑"/>
                <w:b w:val="0"/>
                <w:color w:val="222A33"/>
                <w:sz w:val="21"/>
              </w:rPr>
              <w:t>⑤ 成行与复盘</w:t>
            </w:r>
          </w:p>
        </w:tc>
        <w:tc>
          <w:tcPr>
            <w:tcW w:type="dxa" w:w="4646"/>
          </w:tcPr>
          <w:p>
            <w:r>
              <w:rPr>
                <w:rFonts w:ascii="微软雅黑" w:hAnsi="微软雅黑" w:eastAsia="微软雅黑"/>
                <w:b w:val="0"/>
                <w:color w:val="222A33"/>
                <w:sz w:val="21"/>
              </w:rPr>
              <w:t>完成考察交流，一周内形成纪要与线索跟进表</w:t>
            </w:r>
          </w:p>
        </w:tc>
      </w:tr>
    </w:tbl>
    <w:p>
      <w:pPr>
        <w:spacing w:after="120" w:before="0"/>
      </w:pPr>
      <w:r>
        <w:rPr>
          <w:rFonts w:ascii="微软雅黑" w:hAnsi="微软雅黑" w:eastAsia="微软雅黑"/>
          <w:b w:val="0"/>
          <w:sz w:val="12"/>
        </w:rPr>
      </w:r>
    </w:p>
    <w:p>
      <w:pPr>
        <w:spacing w:after="280" w:before="0"/>
      </w:pPr>
      <w:r>
        <w:rPr>
          <w:rFonts w:ascii="微软雅黑" w:hAnsi="微软雅黑" w:eastAsia="微软雅黑"/>
          <w:b w:val="0"/>
          <w:color w:val="5A636E"/>
          <w:sz w:val="22"/>
        </w:rPr>
        <w:t>具体联络人、电话与邮箱由组织方另行书面提供。</w:t>
      </w:r>
    </w:p>
    <w:p>
      <w:pPr>
        <w:spacing w:after="160" w:before="0"/>
      </w:pPr>
      <w:r>
        <w:rPr>
          <w:rFonts w:ascii="微软雅黑" w:hAnsi="微软雅黑" w:eastAsia="微软雅黑"/>
          <w:b/>
          <w:color w:val="0B3D5C"/>
          <w:sz w:val="26"/>
        </w:rPr>
        <w:t>结语</w:t>
      </w:r>
    </w:p>
    <w:p>
      <w:pPr>
        <w:spacing w:after="320" w:before="0"/>
        <w:ind w:firstLine="440"/>
      </w:pPr>
      <w:r>
        <w:rPr>
          <w:rFonts w:ascii="微软雅黑" w:hAnsi="微软雅黑" w:eastAsia="微软雅黑"/>
          <w:b w:val="0"/>
          <w:sz w:val="23"/>
        </w:rPr>
        <w:t>诚挚邀请宁波经济技术开发区投资促进局给予指导与支持。期待以本次考察为起点，推动复旦校友、上海科技企业家与宁波经开区在招商引资、科技孵化、产业导入及 PE/VC、CVC 投资等领域的务实合作，共促沪甬高质量发展。</w:t>
      </w:r>
    </w:p>
    <w:p>
      <w:pPr>
        <w:spacing w:after="80" w:before="0"/>
      </w:pPr>
      <w:r>
        <w:rPr>
          <w:rFonts w:ascii="微软雅黑" w:hAnsi="微软雅黑" w:eastAsia="微软雅黑"/>
          <w:b w:val="0"/>
          <w:sz w:val="24"/>
        </w:rPr>
        <w:t>此致</w:t>
      </w:r>
    </w:p>
    <w:p>
      <w:pPr>
        <w:spacing w:after="400" w:before="0"/>
      </w:pPr>
      <w:r>
        <w:rPr>
          <w:rFonts w:ascii="微软雅黑" w:hAnsi="微软雅黑" w:eastAsia="微软雅黑"/>
          <w:b w:val="0"/>
          <w:sz w:val="24"/>
        </w:rPr>
        <w:t>敬礼</w:t>
      </w:r>
    </w:p>
    <w:p>
      <w:pPr>
        <w:spacing w:after="80" w:before="0"/>
        <w:jc w:val="right"/>
      </w:pPr>
      <w:r>
        <w:rPr>
          <w:rFonts w:ascii="微软雅黑" w:hAnsi="微软雅黑" w:eastAsia="微软雅黑"/>
          <w:b/>
          <w:sz w:val="24"/>
        </w:rPr>
        <w:t>复旦大学住房政策研究中心</w:t>
      </w:r>
    </w:p>
    <w:p>
      <w:pPr>
        <w:spacing w:after="80" w:before="0"/>
        <w:jc w:val="right"/>
      </w:pPr>
      <w:r>
        <w:rPr>
          <w:rFonts w:ascii="微软雅黑" w:hAnsi="微软雅黑" w:eastAsia="微软雅黑"/>
          <w:b/>
          <w:sz w:val="24"/>
        </w:rPr>
        <w:t>上海市杨浦区科技企业联合会</w:t>
      </w:r>
    </w:p>
    <w:p>
      <w:pPr>
        <w:spacing w:after="120" w:before="0"/>
        <w:jc w:val="right"/>
      </w:pPr>
      <w:r>
        <w:rPr>
          <w:rFonts w:ascii="微软雅黑" w:hAnsi="微软雅黑" w:eastAsia="微软雅黑"/>
          <w:b w:val="0"/>
          <w:color w:val="5A636E"/>
          <w:sz w:val="22"/>
        </w:rPr>
        <w:t>2026年7月</w:t>
      </w:r>
    </w:p>
    <w:sectPr w:rsidR="00FC693F" w:rsidRPr="0006063C" w:rsidSect="00034616">
      <w:pgSz w:w="12240" w:h="15840"/>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