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上海市杨浦区街道级商办市场月度动态数据填充版"/>
    <w:p>
      <w:pPr>
        <w:pStyle w:val="Heading1"/>
      </w:pPr>
      <w:r>
        <w:t xml:space="preserve">上海市杨浦区街道级商办市场月度动态（数据填充版）</w:t>
      </w:r>
    </w:p>
    <w:p>
      <w:pPr>
        <w:pStyle w:val="BlockText"/>
      </w:pPr>
      <w:r>
        <w:t xml:space="preserve">易居房地产研究院 × AI 数据获取方 ｜ 由采集管线自动生成 ｜ 版本：填充版 V1.0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本版数据为「演示数据模式」自动生成</w:t>
      </w:r>
      <w:r>
        <w:t xml:space="preserve">（云端未注入高德/企查查 API Key）。脚本已具备真实采集能力，在</w:t>
      </w:r>
      <w:r>
        <w:t xml:space="preserve"> </w:t>
      </w:r>
      <w:r>
        <w:rPr>
          <w:rStyle w:val="VerbatimChar"/>
        </w:rPr>
        <w:t xml:space="preserve">scripts/.env</w:t>
      </w:r>
      <w:r>
        <w:t xml:space="preserve"> </w:t>
      </w:r>
      <w:r>
        <w:t xml:space="preserve">填入真实 Key 后重跑即切换为实采数据。</w:t>
      </w:r>
    </w:p>
    <w:bookmarkStart w:id="20" w:name="一关键指标速览"/>
    <w:p>
      <w:pPr>
        <w:pStyle w:val="Heading2"/>
      </w:pPr>
      <w:r>
        <w:t xml:space="preserve">一、关键指标速览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载体总数（样本）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总建面（万㎡）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可租面积（万㎡）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写字楼占比（%）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平均报价租金（元/㎡/天）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平均成交租金（元/㎡/天）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全成本租金（元/㎡/天）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议价折让（%）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空置率（招商口径,%）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入驻企业样本数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迁徙事件样本数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</w:tbl>
    <w:bookmarkEnd w:id="20"/>
    <w:bookmarkStart w:id="27" w:name="二全域供给分街道分布"/>
    <w:p>
      <w:pPr>
        <w:pStyle w:val="Heading2"/>
      </w:pPr>
      <w:r>
        <w:t xml:space="preserve">二、全域供给：分街道分布</w:t>
      </w:r>
    </w:p>
    <w:p>
      <w:pPr>
        <w:pStyle w:val="CaptionedFigure"/>
      </w:pPr>
      <w:r>
        <w:drawing>
          <wp:inline>
            <wp:extent cx="5334000" cy="3291479"/>
            <wp:effectExtent b="0" l="0" r="0" t="0"/>
            <wp:docPr descr="分街道可租赁面积" title="" id="22" name="Picture"/>
            <a:graphic>
              <a:graphicData uri="http://schemas.openxmlformats.org/drawingml/2006/picture">
                <pic:pic>
                  <pic:nvPicPr>
                    <pic:cNvPr descr="charts/01_supply_by_subdistri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1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分街道可租赁面积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总建面(万㎡)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可租面积(万㎡)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写字楼数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产业园数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大桥街道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新江湾城街道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平凉路街道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江浦路街道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定海路街道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控江路街道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长白新村街道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四平路街道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殷行街道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延吉新村街道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138928" cy="5364480"/>
            <wp:effectExtent b="0" l="0" r="0" t="0"/>
            <wp:docPr descr="物业等级结构" title="" id="25" name="Picture"/>
            <a:graphic>
              <a:graphicData uri="http://schemas.openxmlformats.org/drawingml/2006/picture">
                <pic:pic>
                  <pic:nvPicPr>
                    <pic:cNvPr descr="charts/02_grade_stru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536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物业等级结构</w:t>
      </w:r>
    </w:p>
    <w:bookmarkEnd w:id="27"/>
    <w:bookmarkStart w:id="31" w:name="三市场行情分板块租金与空置分化"/>
    <w:p>
      <w:pPr>
        <w:pStyle w:val="Heading2"/>
      </w:pPr>
      <w:r>
        <w:t xml:space="preserve">三、市场行情：分板块租金与空置分化</w:t>
      </w:r>
    </w:p>
    <w:p>
      <w:pPr>
        <w:pStyle w:val="CaptionedFigure"/>
      </w:pPr>
      <w:r>
        <w:drawing>
          <wp:inline>
            <wp:extent cx="5334000" cy="2927292"/>
            <wp:effectExtent b="0" l="0" r="0" t="0"/>
            <wp:docPr descr="分板块租金与空置" title="" id="29" name="Picture"/>
            <a:graphic>
              <a:graphicData uri="http://schemas.openxmlformats.org/drawingml/2006/picture">
                <pic:pic>
                  <pic:nvPicPr>
                    <pic:cNvPr descr="charts/03_rent_vacancy_by_pla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分板块租金与空置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可租面积(万㎡)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空置率%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成交租金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五角场商圈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同济周边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内环商务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国定路高校带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滨江东延伸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</w:tr>
    </w:tbl>
    <w:bookmarkEnd w:id="31"/>
    <w:bookmarkStart w:id="35" w:name="四需求结构主导产业画像"/>
    <w:p>
      <w:pPr>
        <w:pStyle w:val="Heading2"/>
      </w:pPr>
      <w:r>
        <w:t xml:space="preserve">四、需求结构：主导产业画像</w:t>
      </w:r>
    </w:p>
    <w:p>
      <w:pPr>
        <w:pStyle w:val="CaptionedFigure"/>
      </w:pPr>
      <w:r>
        <w:drawing>
          <wp:inline>
            <wp:extent cx="5334000" cy="3294263"/>
            <wp:effectExtent b="0" l="0" r="0" t="0"/>
            <wp:docPr descr="主导产业" title="" id="33" name="Picture"/>
            <a:graphic>
              <a:graphicData uri="http://schemas.openxmlformats.org/drawingml/2006/picture">
                <pic:pic>
                  <pic:nvPicPr>
                    <pic:cNvPr descr="charts/04_industry_mi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主导产业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平均面积(㎡)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专精特新制造服务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科技金融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734.0</w:t>
            </w:r>
          </w:p>
        </w:tc>
      </w:tr>
    </w:tbl>
    <w:bookmarkEnd w:id="35"/>
    <w:bookmarkStart w:id="42" w:name="五企业迁徙与招商吸引力"/>
    <w:p>
      <w:pPr>
        <w:pStyle w:val="Heading2"/>
      </w:pPr>
      <w:r>
        <w:t xml:space="preserve">五、企业迁徙与招商吸引力</w:t>
      </w:r>
    </w:p>
    <w:p>
      <w:pPr>
        <w:pStyle w:val="CaptionedFigure"/>
      </w:pPr>
      <w:r>
        <w:drawing>
          <wp:inline>
            <wp:extent cx="5334000" cy="2950819"/>
            <wp:effectExtent b="0" l="0" r="0" t="0"/>
            <wp:docPr descr="In/Out Ratio" title="" id="37" name="Picture"/>
            <a:graphic>
              <a:graphicData uri="http://schemas.openxmlformats.org/drawingml/2006/picture">
                <pic:pic>
                  <pic:nvPicPr>
                    <pic:cNvPr descr="charts/05_inout_rati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In/Out Ratio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InOut比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杨浦-大创智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净吸引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杨浦-新江湾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净吸引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杨浦-滨江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净吸引</w:t>
            </w:r>
          </w:p>
        </w:tc>
      </w:tr>
    </w:tbl>
    <w:p>
      <w:pPr>
        <w:pStyle w:val="CaptionedFigure"/>
      </w:pPr>
      <w:r>
        <w:drawing>
          <wp:inline>
            <wp:extent cx="5334000" cy="2953313"/>
            <wp:effectExtent b="0" l="0" r="0" t="0"/>
            <wp:docPr descr="迁入来源地" title="" id="40" name="Picture"/>
            <a:graphic>
              <a:graphicData uri="http://schemas.openxmlformats.org/drawingml/2006/picture">
                <pic:pic>
                  <pic:nvPicPr>
                    <pic:cNvPr descr="charts/06_migration_sour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迁入来源地</w:t>
      </w:r>
    </w:p>
    <w:bookmarkEnd w:id="42"/>
    <w:bookmarkStart w:id="43" w:name="六精准招商线索top15"/>
    <w:p>
      <w:pPr>
        <w:pStyle w:val="Heading2"/>
      </w:pPr>
      <w:r>
        <w:t xml:space="preserve">六、精准招商线索（TOP15）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企业(脱敏)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产业标签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当前面积(㎡)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近6月融资+招聘扩张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专精特新制造服务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五角场商圈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近6月融资+招聘扩张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近6月融资+招聘扩张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杨浦滨江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国定路高校带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近6月融资+招聘扩张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国定路高校带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内环商务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专精特新制造服务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新设研发中心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检验检测/科技服务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工商稳定+岗位激增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专精特新制造服务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杨浦滨江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新设研发中心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大创智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新设研发中心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杨浦示例企业0180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在线新经济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新江湾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新设研发中心</w:t>
            </w:r>
          </w:p>
        </w:tc>
      </w:tr>
    </w:tbl>
    <w:p>
      <w:pPr>
        <w:pStyle w:val="BlockText"/>
      </w:pPr>
      <w:r>
        <w:t xml:space="preserve">筛选逻辑：近 6 个月融资 + 招聘扩张 + 工商稳定（未异常）交叉。企业名称已脱敏。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数据来源：高德 POI/AOI（载体）、企查查/天眼查（企业与工商变更）、好租/办办网/点点租（挂牌行情）；演示模式下为合成样本。正式版填入真实 Key 后由相同管线产出。遵循《上海市数据条例》及各平台条款。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2026-06-16T22:52:35Z</dcterms:created>
  <dcterms:modified xsi:type="dcterms:W3CDTF">2026-06-16T22:52:35Z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