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fill="142B4A" w:val="clear"/>
            <w:tcBorders>
              <w:top w:val="single" w:sz="0" w:color="142B4A" w:space="0"/>
              <w:left w:val="single" w:sz="0" w:color="142B4A" w:space="0"/>
              <w:bottom w:val="single" w:sz="0" w:color="142B4A" w:space="0"/>
              <w:right w:val="single" w:sz="0" w:color="142B4A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微软雅黑" w:hAnsi="微软雅黑" w:eastAsia="微软雅黑"/>
                <w:b/>
                <w:color w:val="FFFFFF"/>
                <w:sz w:val="44"/>
              </w:rPr>
              <w:t>胡继刚</w:t>
            </w:r>
            <w:r>
              <w:rPr>
                <w:rFonts w:ascii="微软雅黑" w:hAnsi="微软雅黑" w:eastAsia="微软雅黑"/>
                <w:b w:val="0"/>
                <w:color w:val="E8D5A3"/>
                <w:sz w:val="22"/>
              </w:rPr>
              <w:t xml:space="preserve">    HU Jigang</w:t>
            </w:r>
          </w:p>
          <w:p>
            <w:pPr>
              <w:spacing w:before="40" w:after="80"/>
            </w:pPr>
            <w:r>
              <w:rPr>
                <w:rFonts w:ascii="微软雅黑" w:hAnsi="微软雅黑" w:eastAsia="微软雅黑"/>
                <w:b/>
                <w:color w:val="E8D5A3"/>
                <w:sz w:val="24"/>
              </w:rPr>
              <w:t>产业发展  ·  产业合作  ·  招商负责人</w:t>
            </w:r>
          </w:p>
          <w:p>
            <w:pPr>
              <w:spacing w:before="0" w:after="60"/>
            </w:pPr>
            <w:r>
              <w:rPr>
                <w:rFonts w:ascii="微软雅黑" w:hAnsi="微软雅黑" w:eastAsia="微软雅黑"/>
                <w:b w:val="0"/>
                <w:color w:val="D5DEE8"/>
                <w:sz w:val="18"/>
              </w:rPr>
              <w:t>AI 商业化 = 新业务能力　　企业出海 / 海外园区合作 = 中期方向</w:t>
            </w:r>
          </w:p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color w:val="F0F4F8"/>
                <w:sz w:val="19"/>
              </w:rPr>
              <w:t>复旦大学住房政策研究中心秘书长  ｜  上海市杨浦区科技企业联合会执行会长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男 ｜ 1987.04 ｜ 上海 ｜ 硕士 ｜ 副教授级高级工程师 ｜ 九三学社 ｜ IELTS 6.0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b w:val="0"/>
                <w:color w:val="C5D0DC"/>
                <w:sz w:val="18"/>
              </w:rPr>
              <w:t>18678408669  ｜  262782809@qq.com  ｜  微信 hu262782809</w:t>
            </w:r>
          </w:p>
        </w:tc>
      </w:tr>
    </w:tbl>
    <w:p>
      <w:pPr>
        <w:spacing w:before="160" w:after="40" w:line="269" w:lineRule="auto"/>
      </w:pPr>
      <w:r>
        <w:rPr>
          <w:rFonts w:ascii="微软雅黑" w:hAnsi="微软雅黑" w:eastAsia="微软雅黑"/>
          <w:b/>
          <w:color w:val="C48A2B"/>
          <w:sz w:val="18"/>
        </w:rPr>
        <w:t xml:space="preserve">求职意向  </w:t>
      </w:r>
      <w:r>
        <w:rPr>
          <w:rFonts w:ascii="微软雅黑" w:hAnsi="微软雅黑" w:eastAsia="微软雅黑"/>
          <w:b w:val="0"/>
          <w:color w:val="142B4A"/>
          <w:sz w:val="19"/>
        </w:rPr>
        <w:t>产业合作 / 招商负责人（科创园区、产业集团、企业服务平台）    上海    薪资面议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职业摘要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40" w:line="283" w:lineRule="auto"/>
      </w:pPr>
      <w:r>
        <w:rPr>
          <w:rFonts w:ascii="微软雅黑" w:hAnsi="微软雅黑" w:eastAsia="微软雅黑"/>
          <w:b w:val="0"/>
          <w:color w:val="444C56"/>
          <w:sz w:val="19"/>
        </w:rPr>
        <w:t>土木本科、复旦 MBA。万科、新城经历支撑项目判断、投资拓展与合作落地；研究中心、杨浦科企联经历支撑政策理解、企业连接与跨机构协调。两者结合，是转向产业发展岗位的基础。职业主线放在产业合作与招商；AI 作为新业务能力，从园区、资管和企业服务场景切入；出海作为中期延伸，先做国内客户开发与项目组织。2021 年后公开成果以平台搭建和活动组织为主，付费项目与入驻签约数字待补。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方向优先级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0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top"/>
          </w:tcPr>
          <w:p>
            <w:pPr>
              <w:spacing w:after="60"/>
            </w:pPr>
            <w:r/>
            <w:r>
              <w:rPr>
                <w:rFonts w:ascii="微软雅黑" w:hAnsi="微软雅黑" w:eastAsia="微软雅黑"/>
                <w:b/>
                <w:color w:val="9A4A12"/>
                <w:sz w:val="22"/>
              </w:rPr>
              <w:t>▍</w:t>
            </w:r>
            <w:r>
              <w:rPr>
                <w:rFonts w:ascii="微软雅黑" w:hAnsi="微软雅黑" w:eastAsia="微软雅黑"/>
                <w:b/>
                <w:color w:val="142B4A"/>
                <w:sz w:val="20"/>
              </w:rPr>
              <w:t>近期主线｜产业发展 / 招商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科创园区、产业集团、企业服务平台：项目拓展、合作谈判与落地。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证据：拿地、收并购、国企合作、产业载体导入。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公开报道尚无引进企业签约入驻的经营数字。</w:t>
            </w:r>
          </w:p>
        </w:tc>
        <w:tc>
          <w:tcPr>
            <w:tcW w:type="dxa" w:w="3430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top"/>
          </w:tcPr>
          <w:p>
            <w:pPr>
              <w:spacing w:after="60"/>
            </w:pPr>
            <w:r/>
            <w:r>
              <w:rPr>
                <w:rFonts w:ascii="微软雅黑" w:hAnsi="微软雅黑" w:eastAsia="微软雅黑"/>
                <w:b/>
                <w:color w:val="0F6B63"/>
                <w:sz w:val="22"/>
              </w:rPr>
              <w:t>▍</w:t>
            </w:r>
            <w:r>
              <w:rPr>
                <w:rFonts w:ascii="微软雅黑" w:hAnsi="微软雅黑" w:eastAsia="微软雅黑"/>
                <w:b/>
                <w:color w:val="142B4A"/>
                <w:sz w:val="20"/>
              </w:rPr>
              <w:t>重点突破｜AI 行业合作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从园区、资管、企业服务场景联合技术团队做客户项目。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已有：峰会主办方代表与圆桌主持、建筑 AI 论文。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待补：付费试点与客户项目。</w:t>
            </w:r>
          </w:p>
        </w:tc>
        <w:tc>
          <w:tcPr>
            <w:tcW w:type="dxa" w:w="3458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top"/>
          </w:tcPr>
          <w:p>
            <w:pPr>
              <w:spacing w:after="60"/>
            </w:pPr>
            <w:r/>
            <w:r>
              <w:rPr>
                <w:rFonts w:ascii="微软雅黑" w:hAnsi="微软雅黑" w:eastAsia="微软雅黑"/>
                <w:b/>
                <w:color w:val="1D4F91"/>
                <w:sz w:val="22"/>
              </w:rPr>
              <w:t>▍</w:t>
            </w:r>
            <w:r>
              <w:rPr>
                <w:rFonts w:ascii="微软雅黑" w:hAnsi="微软雅黑" w:eastAsia="微软雅黑"/>
                <w:b/>
                <w:color w:val="142B4A"/>
                <w:sz w:val="20"/>
              </w:rPr>
              <w:t>中期延伸｜企业出海服务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国内客户开发、需求梳理和项目组织，与当地机构共同交付。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已有：海外不动产主题主持、北欧会客厅发起。</w:t>
            </w:r>
          </w:p>
          <w:p>
            <w:pPr>
              <w:spacing w:after="4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• 待补：出海成交项目。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三个代表案例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40" w:after="20" w:line="269" w:lineRule="auto"/>
      </w:pPr>
      <w:r>
        <w:rPr>
          <w:rFonts w:ascii="微软雅黑" w:hAnsi="微软雅黑" w:eastAsia="微软雅黑"/>
          <w:b/>
          <w:color w:val="142B4A"/>
          <w:sz w:val="20"/>
        </w:rPr>
        <w:t>1. 投资拓展落地｜万科靖江印象城（2017.10）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444C56"/>
          <w:sz w:val="17"/>
        </w:rPr>
        <w:t>职责：江浙事业部投资副总经理。动作：重资产勾地并引入印力轻资产委管。结果：约 15 亿获取 556 亩及约 7 万方自持购物中心，苏中县市首家印象城。说明：证明项目判断与合作落地；属拿地能力，不等于后续招商入驻经营数据。</w:t>
      </w:r>
    </w:p>
    <w:p>
      <w:pPr>
        <w:spacing w:before="40" w:after="20" w:line="269" w:lineRule="auto"/>
      </w:pPr>
      <w:r>
        <w:rPr>
          <w:rFonts w:ascii="微软雅黑" w:hAnsi="微软雅黑" w:eastAsia="微软雅黑"/>
          <w:b/>
          <w:color w:val="142B4A"/>
          <w:sz w:val="20"/>
        </w:rPr>
        <w:t>2. 近期产业合作｜北欧创新国际会客厅（2026.03）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444C56"/>
          <w:sz w:val="17"/>
        </w:rPr>
        <w:t>职责：杨浦科企联执行会长；中心为共同发起方。动作：与宝龙商办、复旦国家大学科技园、峰唯峰等共同发起并参与揭牌交流。结果：会客厅落户杨浦宝龙旭辉广场环创中心（区政府官网）。说明：证明跨机构协调与载体导入；公开报道未披露入驻企业数或收费。</w:t>
      </w:r>
    </w:p>
    <w:p>
      <w:pPr>
        <w:spacing w:before="40" w:after="20" w:line="269" w:lineRule="auto"/>
      </w:pPr>
      <w:r>
        <w:rPr>
          <w:rFonts w:ascii="微软雅黑" w:hAnsi="微软雅黑" w:eastAsia="微软雅黑"/>
          <w:b/>
          <w:color w:val="142B4A"/>
          <w:sz w:val="20"/>
        </w:rPr>
        <w:t>3. AI 新业务能力｜人工智能商业化峰会（2026.05）</w:t>
      </w:r>
    </w:p>
    <w:p>
      <w:pPr>
        <w:spacing w:before="0" w:after="40" w:line="269" w:lineRule="auto"/>
      </w:pPr>
      <w:r>
        <w:rPr>
          <w:rFonts w:ascii="微软雅黑" w:hAnsi="微软雅黑" w:eastAsia="微软雅黑"/>
          <w:b w:val="0"/>
          <w:color w:val="444C56"/>
          <w:sz w:val="17"/>
        </w:rPr>
        <w:t>职责：主办方代表，主持「从算力引擎到新质资产」圆桌。动作：对接腾讯云、火山引擎、达观数据等嘉宾，提出将峰会升级为科创企业超级孵化器。结果：约 600 人，央广网/杨浦区政府/上观报道。说明：证明 AI 行业合作组织能力，尚不是付费客户项目。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工作经历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030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复旦大学住房政策研究中心</w:t>
            </w:r>
            <w:r>
              <w:rPr>
                <w:rFonts w:ascii="微软雅黑" w:hAnsi="微软雅黑" w:eastAsia="微软雅黑"/>
                <w:b w:val="0"/>
                <w:color w:val="5C6773"/>
                <w:sz w:val="19"/>
              </w:rPr>
              <w:t xml:space="preserve">  |  秘书长 / 副教授级高级工程师</w:t>
            </w:r>
          </w:p>
        </w:tc>
        <w:tc>
          <w:tcPr>
            <w:tcW w:type="dxa" w:w="2948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2021.06 – 至今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773"/>
          <w:sz w:val="18"/>
        </w:rPr>
        <w:t>兼杨浦区科技企业联合会执行会长。住房保障、租赁、城市更新课题 + 高峰论坛与战略合作。2021 年后公开成果以平台搭建和活动组织为主，营收/客户价值数字待补。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产业合作：2026.03 北欧创新国际会客厅共同发起并落户杨浦园区；2025.05 代表中心出席工商联房地产商会资管分会成立大会并参与战略合作（中心为合作方；商会现任秘书长公开为李祥）。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AI 能力：2026.05 人工智能商业化峰会主办方代表并主持圆桌；2025.05 中心联合主办全球新经济增长引擎峰会，本人参加房地产×资本×产业圆桌。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出海铺垫：2024.06 主持「他山之石——中国投资者的海外不动产战略布局」。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030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万科企业集团股份有限公司 上海区域</w:t>
            </w:r>
            <w:r>
              <w:rPr>
                <w:rFonts w:ascii="微软雅黑" w:hAnsi="微软雅黑" w:eastAsia="微软雅黑"/>
                <w:b w:val="0"/>
                <w:color w:val="5C6773"/>
                <w:sz w:val="19"/>
              </w:rPr>
              <w:t xml:space="preserve">  |  江浙事业部 投资副总经理</w:t>
            </w:r>
          </w:p>
        </w:tc>
        <w:tc>
          <w:tcPr>
            <w:tcW w:type="dxa" w:w="2948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2017.03 – 2021.06</w:t>
            </w:r>
          </w:p>
        </w:tc>
      </w:tr>
    </w:tbl>
    <w:p>
      <w:pPr>
        <w:spacing w:before="40" w:after="40" w:line="269" w:lineRule="auto"/>
      </w:pPr>
      <w:r>
        <w:rPr>
          <w:rFonts w:ascii="微软雅黑" w:hAnsi="微软雅黑" w:eastAsia="微软雅黑"/>
          <w:b w:val="0"/>
          <w:color w:val="5C6773"/>
          <w:sz w:val="18"/>
        </w:rPr>
        <w:t>汇报投资合作开发部总经理，团队 8 人。深耕江浙未进入城市，负责策略勾地、收并购、债务重组与不良资产处置，覆盖商业综合体、产城、物流冷链。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靖江印象城（2017.10）：重资产勾地 + 印力轻资产委管，约 15 亿获取 556 亩及约 7 万方自持购物中心，苏中县市首家印象城。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政府/国企合作：嘉兴海宁商住代建拓展（18.53 亿 / 约 23 万㎡）；镇江大港金域蓝湾与大港集团各半合作；常州金坛理想城约 28.05 亿、561 亩底价获取。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特资与产业：上海龙湖滟澜山法拍收并购（IRR 约 16.16%）；万纬嘉兴平湖、上海南桥冷链园政府勾地与收购改造（含智能化园区）。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协助临沂河东鲁商新都会（国企基金 + 勾地 + 代建），并推动盐城、台州、金坛等城市进入。</w:t>
      </w:r>
    </w:p>
    <w:p>
      <w:r>
        <w:br w:type="page"/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工作经历（续）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030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新城控股集团股份有限公司</w:t>
            </w:r>
            <w:r>
              <w:rPr>
                <w:rFonts w:ascii="微软雅黑" w:hAnsi="微软雅黑" w:eastAsia="微软雅黑"/>
                <w:b w:val="0"/>
                <w:color w:val="5C6773"/>
                <w:sz w:val="19"/>
              </w:rPr>
              <w:t xml:space="preserve">  |  战略投资中心 投资拓展资深专业经理</w:t>
            </w:r>
          </w:p>
        </w:tc>
        <w:tc>
          <w:tcPr>
            <w:tcW w:type="dxa" w:w="2948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2015.11 – 2017.02</w:t>
            </w:r>
          </w:p>
        </w:tc>
      </w:tr>
    </w:tbl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临沂吾悦广场：对接市级重点招商引资政策，推动商业综合体落地；齐鲁吾悦、青岛吾悦（轻资产品牌输出 + 委管，约 13.68 万㎡）。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维护华东及多区域政府关系，支持全国化拓展中的信息研判、谈判与落地协同。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7030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0" w:type="dxa"/>
              <w:bottom w:w="20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142B4A"/>
                <w:sz w:val="21"/>
              </w:rPr>
              <w:t>中南建设集团 / 中南控股集团</w:t>
            </w:r>
            <w:r>
              <w:rPr>
                <w:rFonts w:ascii="微软雅黑" w:hAnsi="微软雅黑" w:eastAsia="微软雅黑"/>
                <w:b w:val="0"/>
                <w:color w:val="5C6773"/>
                <w:sz w:val="19"/>
              </w:rPr>
              <w:t xml:space="preserve">  |  投资拓展经理 / 战略企划管理主管</w:t>
            </w:r>
          </w:p>
        </w:tc>
        <w:tc>
          <w:tcPr>
            <w:tcW w:type="dxa" w:w="2948"/>
            <w:tcBorders>
              <w:top w:val="single" w:sz="0" w:color="FFFFFF" w:space="0"/>
              <w:left w:val="single" w:sz="0" w:color="FFFFFF" w:space="0"/>
              <w:bottom w:val="single" w:sz="0" w:color="FFFFFF" w:space="0"/>
              <w:right w:val="single" w:sz="0" w:color="FFFFFF" w:space="0"/>
            </w:tcBorders>
            <w:tcMar>
              <w:top w:w="20" w:type="dxa"/>
              <w:left w:w="40" w:type="dxa"/>
              <w:bottom w:w="20" w:type="dxa"/>
              <w:right w:w="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微软雅黑" w:hAnsi="微软雅黑" w:eastAsia="微软雅黑"/>
                <w:b/>
                <w:color w:val="C48A2B"/>
                <w:sz w:val="19"/>
              </w:rPr>
              <w:t>2011.06 – 2015.10</w:t>
            </w:r>
          </w:p>
        </w:tc>
      </w:tr>
    </w:tbl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如皋世纪城等勾地综合体、苏州中南锦苑、江阴白鹭湾（与碧桂园同股同权合作）等项目拓展；主导多宗公开竞拍。</w:t>
      </w:r>
    </w:p>
    <w:p>
      <w:pPr>
        <w:spacing w:before="0" w:after="32" w:line="269" w:lineRule="auto"/>
        <w:ind w:left="181" w:hanging="181"/>
      </w:pPr>
      <w:r>
        <w:rPr>
          <w:rFonts w:ascii="微软雅黑" w:hAnsi="微软雅黑" w:eastAsia="微软雅黑"/>
          <w:b w:val="0"/>
          <w:color w:val="444C56"/>
          <w:sz w:val="19"/>
        </w:rPr>
        <w:t>•  推进美国养老、日本永旺、平安不动产等合作对接；2014 年底晋升并派驻四川任西南拓展负责人。前期在总裁办负责战略企划与制度建设。</w:t>
      </w:r>
    </w:p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投资拓展项目（拿地 / 合作落地，不等于企业招商入驻）</w:t>
      </w:r>
    </w:p>
    <w:p>
      <w:pPr>
        <w:spacing w:before="0" w:after="80"/>
        <w:pBdr>
          <w:bottom w:val="single" w:sz="14" w:space="1" w:color="C48A2B"/>
        </w:pBdr>
      </w:pPr>
    </w:p>
    <w:p>
      <w:pPr>
        <w:spacing w:before="0" w:after="60" w:line="269" w:lineRule="auto"/>
      </w:pPr>
      <w:r>
        <w:rPr>
          <w:rFonts w:ascii="微软雅黑" w:hAnsi="微软雅黑" w:eastAsia="微软雅黑"/>
          <w:b w:val="0"/>
          <w:color w:val="5C6773"/>
          <w:sz w:val="17"/>
        </w:rPr>
        <w:t>下列金额与面积来自原简历，证明投资判断与政府/国企协同；引进企业、签约入驻、收入贡献需另补经营台账。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142B4A" w:val="clear"/>
          </w:tcPr>
          <w:p>
            <w:r/>
          </w:p>
          <w:p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142B4A" w:val="clear"/>
          </w:tcPr>
          <w:p>
            <w:r/>
          </w:p>
          <w:p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模式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142B4A" w:val="clear"/>
          </w:tcPr>
          <w:p>
            <w:r/>
          </w:p>
          <w:p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要点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万科靖江印象城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勾地 + 轻资产委管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约 15 亿获取 556 亩及约 7 万方自持购物中心，苏中县市首家印象城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嘉兴海宁商住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政府代建拓展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18.53 亿两宗商住地，建面约 23 万㎡，配建安置房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镇江大港金域蓝湾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收并购 + 国企合作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199 亩 / 约 32 万方，与镇江大港集团各半合作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常州金坛理想城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收并购 + 债务重组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约 28.05 亿、561 亩，底价获取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上海龙湖滟澜山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法拍不良资产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金融测算 IRR 约 16.16%，特资「募投管退」样本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万纬平湖 / 南桥冷链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产业勾地 / 收购改造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嘉兴首个高标准自动化冷链园；南桥智能化园区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临沂吾悦广场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市级重点招商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对接市重点招商政策，推动商业综合体落地</w:t>
            </w:r>
          </w:p>
        </w:tc>
      </w:tr>
      <w:tr>
        <w:tc>
          <w:tcPr>
            <w:tcW w:type="dxa" w:w="2608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142B4A"/>
                <w:sz w:val="16"/>
              </w:rPr>
              <w:t>青岛吾悦广场</w:t>
            </w:r>
          </w:p>
        </w:tc>
        <w:tc>
          <w:tcPr>
            <w:tcW w:type="dxa" w:w="2494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轻资产品牌输出</w:t>
            </w:r>
          </w:p>
        </w:tc>
        <w:tc>
          <w:tcPr>
            <w:tcW w:type="dxa" w:w="5216"/>
            <w:tcBorders>
              <w:top w:val="single" w:sz="6" w:color="D7DEE8" w:space="0"/>
              <w:left w:val="single" w:sz="6" w:color="D7DEE8" w:space="0"/>
              <w:bottom w:val="single" w:sz="6" w:color="D7DEE8" w:space="0"/>
              <w:right w:val="single" w:sz="6" w:color="D7DEE8" w:space="0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fill="F4F7FB" w:val="clear"/>
          </w:tcPr>
          <w:p>
            <w:r/>
          </w:p>
          <w:p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品牌输出 + 委管，约 13.68 万㎡</w:t>
            </w:r>
          </w:p>
        </w:tc>
      </w:tr>
    </w:tbl>
    <w:p>
      <w:pPr>
        <w:spacing w:before="160" w:after="20" w:line="269" w:lineRule="auto"/>
      </w:pPr>
      <w:r>
        <w:rPr>
          <w:rFonts w:ascii="微软雅黑" w:hAnsi="微软雅黑" w:eastAsia="微软雅黑"/>
          <w:b/>
          <w:color w:val="142B4A"/>
          <w:sz w:val="24"/>
        </w:rPr>
        <w:t>教育、资质与成果</w:t>
      </w:r>
    </w:p>
    <w:p>
      <w:pPr>
        <w:spacing w:before="0" w:after="80"/>
        <w:pBdr>
          <w:bottom w:val="single" w:sz="14" w:space="1" w:color="C48A2B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教育与培训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2018.09–2021.06  复旦大学  工商管理硕士（财务金融）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2007.09–2011.07  中国海洋大学  土木工程  工学学士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上海交大 · 城市治理数字化转型高研班；复旦·怡安人力与风险管理；复旦·花旗银行实践课程</w:t>
            </w:r>
          </w:p>
        </w:tc>
        <w:tc>
          <w:tcPr>
            <w:tcW w:type="dxa" w:w="5159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职称证书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副教授级高级工程师；会计师中级；PMP；上海市住建委项目管理工程师；江苏省机械管理师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IELTS 6.0；普通话一级甲等；BIM；上海市人才引进认证</w:t>
            </w:r>
          </w:p>
        </w:tc>
      </w:tr>
      <w:tr>
        <w:tc>
          <w:tcPr>
            <w:tcW w:type="dxa" w:w="5159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论文与专利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《万科物流地产平台业务发展战略研究》（知网）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《房屋建筑工程人工智能技术的应用》（《住宅与房地产》）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《铝模板在高层住宅建筑工程中的应用》《基于 BIM 的装配式钢结构建筑施工新技术与管理研究》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实用新型专利 2 项：建筑工程管理用功能脚架；建筑工程用防护围栏</w:t>
            </w:r>
          </w:p>
        </w:tc>
        <w:tc>
          <w:tcPr>
            <w:tcW w:type="dxa" w:w="5159"/>
            <w:shd w:fill="F4F7FB" w:val="clear"/>
            <w:tcBorders>
              <w:top w:val="single" w:sz="4" w:color="D7DEE8" w:space="0"/>
              <w:left w:val="single" w:sz="4" w:color="D7DEE8" w:space="0"/>
              <w:bottom w:val="single" w:sz="4" w:color="D7DEE8" w:space="0"/>
              <w:right w:val="single" w:sz="4" w:color="D7DEE8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top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42B4A"/>
                <w:sz w:val="19"/>
              </w:rPr>
              <w:t>已核验 / 待核验职务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已核验：住房政策研究中心秘书长；杨浦科企联执行会长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2024.06 报道曾写复旦 MBA 不动产资管协会秘书长；院友会现公布为武金城，现任请核对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工商联房地产商会：出席并代表中心参与战略合作，公开秘书长为李祥，不写入现任</w:t>
            </w:r>
          </w:p>
          <w:p>
            <w:pPr>
              <w:spacing w:after="20" w:line="259" w:lineRule="auto"/>
            </w:pPr>
            <w:r>
              <w:rPr>
                <w:rFonts w:ascii="微软雅黑" w:hAnsi="微软雅黑" w:eastAsia="微软雅黑"/>
                <w:b w:val="0"/>
                <w:color w:val="444C56"/>
                <w:sz w:val="16"/>
              </w:rPr>
              <w:t>简历自述待核：城市更新 / 碳中和 / 虹口科企评审专家；复旦联考面试官；山东商会理事</w:t>
            </w:r>
          </w:p>
        </w:tc>
      </w:tr>
    </w:tbl>
    <w:p>
      <w:pPr>
        <w:spacing w:before="160" w:after="0" w:line="269" w:lineRule="auto"/>
      </w:pPr>
      <w:r>
        <w:rPr>
          <w:rFonts w:ascii="微软雅黑" w:hAnsi="微软雅黑" w:eastAsia="微软雅黑"/>
          <w:b w:val="0"/>
          <w:color w:val="5C6773"/>
          <w:sz w:val="16"/>
        </w:rPr>
        <w:t>说明：公开活动可对照央广网、人民网、上观新闻、杨浦区政府官网、锦天城官网、工商联官网、复旦管院校友页核验。原 Boss 直聘稿中的身份证、家庭住址、配偶信息已移除。2021 年后若补上团队规模、付费试点、入驻签约，可将案例 2、3 改为经营成果表达。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