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从绿氢到聚变十五五氢能与核聚变能产业链白皮书"/>
    <w:p>
      <w:pPr>
        <w:pStyle w:val="Heading1"/>
      </w:pPr>
      <w:r>
        <w:t xml:space="preserve">从绿氢到聚变：“十五五”氢能与核聚变能产业链白皮书</w:t>
      </w:r>
    </w:p>
    <w:p>
      <w:pPr>
        <w:pStyle w:val="FirstParagraph"/>
      </w:pPr>
      <w:r>
        <w:rPr>
          <w:bCs/>
          <w:b/>
        </w:rPr>
        <w:t xml:space="preserve">副标题</w:t>
      </w:r>
      <w:r>
        <w:t xml:space="preserve">：绿氢产业链规模化与可控核聚变研发示范的双轮路径——兼论合肥—上海聚变产业协同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项目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V1.0（讨论稿）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2026 年 10 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编制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〔编制单位待定〕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适用对象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政府产业部门、国资平台、产业园区、投资机构、聚变与氢能企业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资料口径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公开政策文件与公开报道；企业信息来自交流纪要，标注“待确认”处须经企业书面核实后方可对外引用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摘要十个核心判断"/>
    <w:p>
      <w:pPr>
        <w:pStyle w:val="Heading2"/>
      </w:pPr>
      <w:r>
        <w:t xml:space="preserve">摘要：十个核心判断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政策坐标已经换挡。</w:t>
      </w:r>
      <w:r>
        <w:t xml:space="preserve"> </w:t>
      </w:r>
      <w:r>
        <w:t xml:space="preserve">“十四五”把氢能列为前沿科技和产业变革领域、把聚变作为国家重大科技基础设施持续投入；《中共中央关于制定国民经济和社会发展第十五个五年规划的建议》首次将“氢能和核聚变能”并列写入未来产业，要求“探索多元技术路线、典型应用场景、可行商业模式、市场监管规则”，使两者从“科研项目”进入“产业培育”序列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氢能与聚变不是两个孤立赛道。</w:t>
      </w:r>
      <w:r>
        <w:t xml:space="preserve"> </w:t>
      </w:r>
      <w:r>
        <w:t xml:space="preserve">绿氢解决的是“清洁电力怎么存、怎么进入工业”，聚变解决的是“长期稳定的清洁基荷从哪里来”。前者是 2030 年前的规模化窗口，后者是 2035 年后的能源底座，二者在低温、超导、大功率电源、氢同位素和材料上存在实打实的技术交集。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绿氢的主战场在工业，不在乘用车。</w:t>
      </w:r>
      <w:r>
        <w:t xml:space="preserve"> </w:t>
      </w:r>
      <w:r>
        <w:t xml:space="preserve">合成氨、甲醇、炼化、钢铁直接还原和绿色航运燃料是“十五五”期间最可能形成规模的消纳场景；交通领域以重卡、港口和区域物流为主。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绿氢的胜负手是电价和利用小时数。</w:t>
      </w:r>
      <w:r>
        <w:t xml:space="preserve"> </w:t>
      </w:r>
      <w:r>
        <w:t xml:space="preserve">电解槽设备已高度国产化且价格快速下降，绿氢成本的六到七成来自电费；风光资源区“源网荷储氢”一体化、离网制氢与绿氨/绿醇出口是降本主路径。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可控核聚变正从“国家装置”走向“国家队＋民营”双轨并进。</w:t>
      </w:r>
      <w:r>
        <w:t xml:space="preserve"> </w:t>
      </w:r>
      <w:r>
        <w:t xml:space="preserve">合肥 EAST、成都 HL-3 等装置持续刷新运行纪录；2025 年中国聚变能源有限公司在上海成立，紧凑型聚变能实验装置（BEST）在合肥推进总装，大量民营聚变企业在高温超导紧凑型路线上快速迭代。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聚变产业链的“现金流”先于“发电”出现。</w:t>
      </w:r>
      <w:r>
        <w:t xml:space="preserve"> </w:t>
      </w:r>
      <w:r>
        <w:t xml:space="preserve">在聚变发电商业化之前，高温超导带材与磁体、真空与低温系统、大功率电源、加热与诊断系统、第一壁与偏滤器材料等环节已经形成采购订单，并可外溢到医疗、电网、半导体、航天和氢能装备。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合肥与上海形成天然互补。</w:t>
      </w:r>
      <w:r>
        <w:t xml:space="preserve"> </w:t>
      </w:r>
      <w:r>
        <w:t xml:space="preserve">合肥拥有大科学装置集群、工程验证和人才池；上海拥有央企总部、资本市场、高端装备与材料配套、国际化平台和应用场景。“合肥做装置、上海做总部与链主配套”的双城结构具备现实基础。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民营聚变企业的核心竞争力是“迭代速度×工程化能力×资金续航”。</w:t>
      </w:r>
      <w:r>
        <w:t xml:space="preserve"> </w:t>
      </w:r>
      <w:r>
        <w:t xml:space="preserve">技术路线可以多元，但能否在 3—5 年内交付可验证的工程里程碑、能否把部件能力转化为对外收入，决定了企业能否穿越长周期。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地方政策要避免“装置竞赛”和“园区内卷”。</w:t>
      </w:r>
      <w:r>
        <w:t xml:space="preserve"> </w:t>
      </w:r>
      <w:r>
        <w:t xml:space="preserve">聚变是重资产、长周期、高不确定性的领域，地方应按“财政承载力＋工业场域＋人才与科研底座”三项条件选择角色，把有限资源投向自身真正具备优势的链条环节。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2026—2030 年的关键观察指标</w:t>
      </w:r>
      <w:r>
        <w:t xml:space="preserve">：BEST 等紧凑型装置的建成与氘氚运行准备、高温超导带材国产产能与价格、民营企业 Q 值与长脉冲里程碑、绿氢项目实际开工和满负荷率、绿氨/绿醇出口订单、氢能与聚变相关监管规则的出台。</w:t>
      </w:r>
    </w:p>
    <w:p>
      <w:r>
        <w:pict>
          <v:rect style="width:0;height:1.5pt" o:hralign="center" o:hrstd="t" o:hr="t"/>
        </w:pict>
      </w:r>
    </w:p>
    <w:bookmarkEnd w:id="20"/>
    <w:bookmarkStart w:id="21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2"/>
        </w:numPr>
        <w:pStyle w:val="Compact"/>
      </w:pPr>
      <w:r>
        <w:t xml:space="preserve">政策坐标：从“十四五”到“十五五”</w:t>
      </w:r>
    </w:p>
    <w:p>
      <w:pPr>
        <w:numPr>
          <w:ilvl w:val="0"/>
          <w:numId w:val="1002"/>
        </w:numPr>
        <w:pStyle w:val="Compact"/>
      </w:pPr>
      <w:r>
        <w:t xml:space="preserve">为什么把氢能与核聚变能放在一起看</w:t>
      </w:r>
    </w:p>
    <w:p>
      <w:pPr>
        <w:numPr>
          <w:ilvl w:val="0"/>
          <w:numId w:val="1002"/>
        </w:numPr>
        <w:pStyle w:val="Compact"/>
      </w:pPr>
      <w:r>
        <w:t xml:space="preserve">绿氢产业链：全景、瓶颈与“十五五”判断</w:t>
      </w:r>
    </w:p>
    <w:p>
      <w:pPr>
        <w:numPr>
          <w:ilvl w:val="0"/>
          <w:numId w:val="1002"/>
        </w:numPr>
        <w:pStyle w:val="Compact"/>
      </w:pPr>
      <w:r>
        <w:t xml:space="preserve">可控核聚变：技术路线、研发示范与产业链</w:t>
      </w:r>
    </w:p>
    <w:p>
      <w:pPr>
        <w:numPr>
          <w:ilvl w:val="0"/>
          <w:numId w:val="1002"/>
        </w:numPr>
        <w:pStyle w:val="Compact"/>
      </w:pPr>
      <w:r>
        <w:t xml:space="preserve">区域格局：合肥、上海与全国聚变—氢能版图</w:t>
      </w:r>
    </w:p>
    <w:p>
      <w:pPr>
        <w:numPr>
          <w:ilvl w:val="0"/>
          <w:numId w:val="1002"/>
        </w:numPr>
        <w:pStyle w:val="Compact"/>
      </w:pPr>
      <w:r>
        <w:t xml:space="preserve">企业观察：合肥星核聚变与东昇聚变</w:t>
      </w:r>
    </w:p>
    <w:p>
      <w:pPr>
        <w:numPr>
          <w:ilvl w:val="0"/>
          <w:numId w:val="1002"/>
        </w:numPr>
        <w:pStyle w:val="Compact"/>
      </w:pPr>
      <w:r>
        <w:t xml:space="preserve">合肥—上海双城协同方案</w:t>
      </w:r>
    </w:p>
    <w:p>
      <w:pPr>
        <w:numPr>
          <w:ilvl w:val="0"/>
          <w:numId w:val="1002"/>
        </w:numPr>
        <w:pStyle w:val="Compact"/>
      </w:pPr>
      <w:r>
        <w:t xml:space="preserve">投资逻辑与商业模式</w:t>
      </w:r>
    </w:p>
    <w:p>
      <w:pPr>
        <w:numPr>
          <w:ilvl w:val="0"/>
          <w:numId w:val="1002"/>
        </w:numPr>
        <w:pStyle w:val="Compact"/>
      </w:pPr>
      <w:r>
        <w:t xml:space="preserve">风险清单</w:t>
      </w:r>
    </w:p>
    <w:p>
      <w:pPr>
        <w:numPr>
          <w:ilvl w:val="0"/>
          <w:numId w:val="1002"/>
        </w:numPr>
        <w:pStyle w:val="Compact"/>
      </w:pPr>
      <w:r>
        <w:t xml:space="preserve">政策建议</w:t>
      </w:r>
    </w:p>
    <w:p>
      <w:pPr>
        <w:numPr>
          <w:ilvl w:val="0"/>
          <w:numId w:val="1002"/>
        </w:numPr>
        <w:pStyle w:val="Compact"/>
      </w:pPr>
      <w:r>
        <w:t xml:space="preserve">2026—2030 年观察指标与路线图</w:t>
      </w:r>
    </w:p>
    <w:p>
      <w:pPr>
        <w:numPr>
          <w:ilvl w:val="0"/>
          <w:numId w:val="1002"/>
        </w:numPr>
        <w:pStyle w:val="Compact"/>
      </w:pPr>
      <w:r>
        <w:t xml:space="preserve">附录：术语表、参考资料、口径声明</w:t>
      </w:r>
    </w:p>
    <w:p>
      <w:r>
        <w:pict>
          <v:rect style="width:0;height:1.5pt" o:hralign="center" o:hrstd="t" o:hr="t"/>
        </w:pict>
      </w:r>
    </w:p>
    <w:bookmarkEnd w:id="21"/>
    <w:bookmarkStart w:id="24" w:name="一政策坐标从十四五到十五五"/>
    <w:p>
      <w:pPr>
        <w:pStyle w:val="Heading2"/>
      </w:pPr>
      <w:r>
        <w:t xml:space="preserve">一、政策坐标：从“十四五”到“十五五”</w:t>
      </w:r>
    </w:p>
    <w:bookmarkStart w:id="22" w:name="Xa3cc3648e3310134a647e11a3b89e515d4844b2"/>
    <w:p>
      <w:pPr>
        <w:pStyle w:val="Heading3"/>
      </w:pPr>
      <w:r>
        <w:t xml:space="preserve">1.1 政策演进脉络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时间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文件 / 事件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与本白皮书相关的要点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2021 年 3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《国民经济和社会发展第十四个五年规划和 2035 年远景目标纲要》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在类脑智能、量子信息、基因技术、未来网络、深海空天开发、氢能与储能等前沿领域组织实施未来产业孵化与加速计划；持续布局国家重大科技基础设施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2022 年 3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国家发展改革委、国家能源局《氢能产业发展中长期规划（2021—2035 年）》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明确氢能是未来国家能源体系的重要组成部分、用能终端实现绿色低碳转型的重要载体、战略性新兴产业和未来产业重点发展方向；提出到 2025 年燃料电池车辆保有量约 5 万辆、可再生能源制氢量达到 10 万—20 万吨/年等目标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2023 年 12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中核集团牵头组建可控核聚变创新联合体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央企、科研院所、高校协同攻关，聚变进入“举国体制＋产业协同”阶段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2024 年 3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2024 年《政府工作报告》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提出加快前沿新兴氢能、新材料、创新药等产业发展，制定未来产业发展规划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2024 年 11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《中华人民共和国能源法》通过（2025 年 1 月 1 日施行）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氢能被纳入能源管理范畴，为“氢能按能源而非仅按危化品管理”提供上位法基础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2025 年 7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中国聚变能源有限公司在上海成立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中核集团牵头组建，聚变工程化、商业化进入“链主”主导阶段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2025 年 10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党的二十届四中全会通过《中共中央关于制定国民经济和社会发展第十五个五年规划的建议》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前瞻布局未来产业，推动量子科技、生物制造、氢能和核聚变能、脑机接口、具身智能、第六代移动通信等成为新的经济增长点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2026 年 3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全国人大审议“十五五”规划纲要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将《建议》部署转化为具体目标与工程；</w:t>
            </w: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本白皮书主要依据《建议》表述，纲要中的具体指标请以官方发布文本为准</w:t>
            </w:r>
          </w:p>
        </w:tc>
      </w:tr>
    </w:tbl>
    <w:bookmarkEnd w:id="22"/>
    <w:bookmarkStart w:id="23" w:name="Xa9cbe6df0a64c9aad2be225a3ba00d36bde8609"/>
    <w:p>
      <w:pPr>
        <w:pStyle w:val="Heading3"/>
      </w:pPr>
      <w:r>
        <w:t xml:space="preserve">1.2 “十五五”表述的三层含义</w:t>
      </w:r>
    </w:p>
    <w:p>
      <w:pPr>
        <w:pStyle w:val="FirstParagraph"/>
      </w:pPr>
      <w:r>
        <w:rPr>
          <w:bCs/>
          <w:b/>
        </w:rPr>
        <w:t xml:space="preserve">第一层：定位升级。</w:t>
      </w:r>
      <w:r>
        <w:t xml:space="preserve"> </w:t>
      </w:r>
      <w:r>
        <w:t xml:space="preserve">“氢能和核聚变能”与量子科技、生物制造、具身智能等并列，意味着两者被视为“新的经济增长点”，政策目标从“技术突破”扩展到“产业形成”。</w:t>
      </w:r>
    </w:p>
    <w:p>
      <w:pPr>
        <w:pStyle w:val="BodyText"/>
      </w:pPr>
      <w:r>
        <w:rPr>
          <w:bCs/>
          <w:b/>
        </w:rPr>
        <w:t xml:space="preserve">第二层：方法论明确。</w:t>
      </w:r>
      <w:r>
        <w:t xml:space="preserve"> </w:t>
      </w:r>
      <w:r>
        <w:t xml:space="preserve">《建议》对未来产业提出“探索多元技术路线、典型应用场景、可行商业模式、市场监管规则”四项任务。对应到本领域：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四项任务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氢能的含义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核聚变能的含义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多元技术路线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碱性（ALK）、质子交换膜（PEM）、固体氧化物（SOEC）、阴离子交换膜（AEM）电解并行；高压气态、液氢、管道、有机液体、氨/甲醇载氢并行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大型托卡马克、紧凑型高场（高温超导）托卡马克、仿星器、球形环、场反位形、惯性约束、Z 箍缩、氢硼等路线并行探索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典型应用场景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绿氨、绿醇、炼化、氢冶金、重卡与港口、绿色航运燃料、长时储能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聚变发电示范、聚变—裂变混合、聚变中子源（材料辐照、同位素生产）、高温工业供热、远期聚变制氢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可行商业模式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风光氢储一体化、离网制氢、绿色燃料出口、碳市场与绿证联动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部件与系统对外销售、科研装置建设合同、技术服务、联合开发、远期电力购买协议（PPA）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市场监管规则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氢能“能源属性”落地、制氢项目审批与安全规范、加氢站审批、绿氢认证与碳核算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聚变装置安全监管框架（区别于裂变核电）、氚管理、场址与环评标准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第三层：时间窗口。</w:t>
      </w:r>
      <w:r>
        <w:t xml:space="preserve"> </w:t>
      </w:r>
      <w:r>
        <w:t xml:space="preserve">“十五五”（2026—2030 年）对绿氢而言是</w:t>
      </w:r>
      <w:r>
        <w:rPr>
          <w:bCs/>
          <w:b/>
        </w:rPr>
        <w:t xml:space="preserve">规模化窗口</w:t>
      </w:r>
      <w:r>
        <w:t xml:space="preserve">，对聚变而言是</w:t>
      </w:r>
      <w:r>
        <w:rPr>
          <w:bCs/>
          <w:b/>
        </w:rPr>
        <w:t xml:space="preserve">工程验证窗口</w:t>
      </w:r>
      <w:r>
        <w:t xml:space="preserve">。两者节奏不同，政策工具也应不同：绿氢重在场景与价格机制，聚变重在装置、标准与长期资本。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二为什么把氢能与核聚变能放在一起看"/>
    <w:p>
      <w:pPr>
        <w:pStyle w:val="Heading2"/>
      </w:pPr>
      <w:r>
        <w:t xml:space="preserve">二、为什么把氢能与核聚变能放在一起看</w:t>
      </w:r>
    </w:p>
    <w:bookmarkStart w:id="25" w:name="X62e53fbadcd3a89c7ed824afadc74b7202fe15b"/>
    <w:p>
      <w:pPr>
        <w:pStyle w:val="Heading3"/>
      </w:pPr>
      <w:r>
        <w:t xml:space="preserve">2.1 能源体系逻辑：一个解决“存与用”，一个解决“源”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绿氢</w:t>
      </w:r>
      <w:r>
        <w:t xml:space="preserve">：把波动的风光电转化为可储存、可运输、可进入化工和冶金流程的分子，是高比例可再生能源系统的“第二种载体”。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聚变能</w:t>
      </w:r>
      <w:r>
        <w:t xml:space="preserve">：一旦实现工程化，可提供燃料资源近乎无限、无长寿命高放废料、不排放温室气体的稳定基荷电源。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远期耦合</w:t>
      </w:r>
      <w:r>
        <w:t xml:space="preserve">：聚变电站的稳定电力与高品位热，可用于大规模电解或高温热化学制氢，使“聚变—绿氢”成为终极零碳燃料路径之一。</w:t>
      </w:r>
    </w:p>
    <w:bookmarkEnd w:id="25"/>
    <w:bookmarkStart w:id="26" w:name="X6238cc528586c8fe742728a110dc1a723b036d5"/>
    <w:p>
      <w:pPr>
        <w:pStyle w:val="Heading3"/>
      </w:pPr>
      <w:r>
        <w:t xml:space="preserve">2.2 技术交集：同一批供应链，两个市场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共性技术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在氢能中的作用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在聚变中的作用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产业意义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低温工程（20K 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液氢储运、氢液化装置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超导磁体冷却（高温超导磁体常在约 20K 运行）、低温泵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液氢与聚变共享制冷机、低温阀门、绝热材料供应链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高温超导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超导电缆输电、液氢冷却超导应用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紧凑型高场磁体的核心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带材产能扩张同时服务两个市场，摊薄成本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大功率电源与电力电子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电解槽整流电源（MW—GW 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磁体电源、加热系统电源、脉冲电源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IGBT/晶闸管整流、储能与电网接入技术复用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氢同位素工程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氢气纯化、金属氢化物储氢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氘氚燃料循环、氚提取与储存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储氢合金、同位素分离与检测技术共通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抗氢脆与极端材料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储氢瓶、管道、阀门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第一壁、包层结构材料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材料测试与认证平台可共建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真空与密封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高纯氢系统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超高真空室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精密制造与检测共享</w:t>
            </w:r>
          </w:p>
        </w:tc>
      </w:tr>
    </w:tbl>
    <w:p>
      <w:pPr>
        <w:pStyle w:val="BodyText"/>
      </w:pPr>
      <w:r>
        <w:rPr>
          <w:bCs/>
          <w:b/>
        </w:rPr>
        <w:t xml:space="preserve">判断</w:t>
      </w:r>
      <w:r>
        <w:t xml:space="preserve">：地方在布局时，可以把“氢能装备＋聚变部件”作为同一个高端装备集群来规划，而不是两套互不相干的园区。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三绿氢产业链全景瓶颈与十五五判断"/>
    <w:p>
      <w:pPr>
        <w:pStyle w:val="Heading2"/>
      </w:pPr>
      <w:r>
        <w:t xml:space="preserve">三、绿氢产业链：全景、瓶颈与“十五五”判断</w:t>
      </w:r>
    </w:p>
    <w:bookmarkStart w:id="28" w:name="X2240597e1dfe2a31329ff8e01de27345f27f1a2"/>
    <w:p>
      <w:pPr>
        <w:pStyle w:val="Heading3"/>
      </w:pPr>
      <w:r>
        <w:t xml:space="preserve">3.1 产业链全景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环节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主要内容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国内成熟度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“十五五”关注点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上游：可再生电力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风电、光伏、储能、电网接入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低价绿电获取、源网荷储一体化、离网/弱并网制氢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制氢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ALK、PEM、SOEC、AEM 电解槽；系统集成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ALK 高；PEM 中；SOEC/AEM 示范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宽功率波动适应性、单槽大型化、电耗与寿命、贵金属减量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储运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高压气态长管拖车、液氢、纯氢/掺氢管道、有机液体、氨/甲醇载氢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高压气态成熟；管道与液氢起步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输氢管道示范、液氢民用标准、“以氨/醇代氢”远距离运输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加注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加氢站、综合能源站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审批简化、站点利用率、与油气站合建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化工（合成氨、甲醇、炼化）、冶金（氢冶金）、交通（重卡、船舶、航空燃料）、发电与储能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化工替代起步；交通示范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绿氢对灰氢的替代机制、绿色燃料出口认证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支撑体系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标准、检测、认证、安全监管、碳核算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建设中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绿氢认证、与碳市场衔接</w:t>
            </w:r>
          </w:p>
        </w:tc>
      </w:tr>
    </w:tbl>
    <w:bookmarkEnd w:id="28"/>
    <w:bookmarkStart w:id="29" w:name="Xae998a18ab35ac5cd2ae62c08b89dfd3bd2bf72"/>
    <w:p>
      <w:pPr>
        <w:pStyle w:val="Heading3"/>
      </w:pPr>
      <w:r>
        <w:t xml:space="preserve">3.2 基本盘：中国是全球最大的氢生产和消费国，但“绿”的比例很低</w:t>
      </w:r>
    </w:p>
    <w:p>
      <w:pPr>
        <w:numPr>
          <w:ilvl w:val="0"/>
          <w:numId w:val="1004"/>
        </w:numPr>
        <w:pStyle w:val="Compact"/>
      </w:pPr>
      <w:r>
        <w:t xml:space="preserve">我国年制氢量规模超过 3000 万吨，长期居全球首位，但主要来自煤制氢、天然气制氢和工业副产氢，可再生能源制氢占比仍然很低。</w:t>
      </w:r>
    </w:p>
    <w:p>
      <w:pPr>
        <w:numPr>
          <w:ilvl w:val="0"/>
          <w:numId w:val="1004"/>
        </w:numPr>
        <w:pStyle w:val="Compact"/>
      </w:pPr>
      <w:r>
        <w:t xml:space="preserve">电解槽产业链高度国产化，碱性电解槽已具备全球价格优势并开始出口。</w:t>
      </w:r>
    </w:p>
    <w:p>
      <w:pPr>
        <w:numPr>
          <w:ilvl w:val="0"/>
          <w:numId w:val="1004"/>
        </w:numPr>
        <w:pStyle w:val="Compact"/>
      </w:pPr>
      <w:r>
        <w:t xml:space="preserve">西北、华北、东北风光资源区已出现一批万吨级绿氢项目，其中新疆库车光伏绿氢示范项目（中国石化）是较早投产的万吨级项目；内蒙古、吉林等地布局了风光制氢及氢氨醇一体化项目。</w:t>
      </w:r>
    </w:p>
    <w:p>
      <w:pPr>
        <w:pStyle w:val="BlockText"/>
      </w:pPr>
      <w:r>
        <w:t xml:space="preserve">注：上述规模与项目信息来自公开报道，引用具体数字时请以最新官方统计为准。</w:t>
      </w:r>
    </w:p>
    <w:bookmarkEnd w:id="29"/>
    <w:bookmarkStart w:id="30" w:name="X439aa7d392ee9478479683e7d9b70c8373e6590"/>
    <w:p>
      <w:pPr>
        <w:pStyle w:val="Heading3"/>
      </w:pPr>
      <w:r>
        <w:t xml:space="preserve">3.3 成本结构：电价决定一切</w:t>
      </w:r>
    </w:p>
    <w:p>
      <w:pPr>
        <w:pStyle w:val="FirstParagraph"/>
      </w:pPr>
      <w:r>
        <w:t xml:space="preserve">以碱性电解为例，生产 1 千克氢气约耗电 50—55 千瓦时。经验测算：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情景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电价（元/kWh）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年利用小时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绿氢完全成本（元/kg，估算区间）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网电制氢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0.4—0.6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25—35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明显高于灰氢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风光资源区一体化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0.15—0.25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3000—4500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13—20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接近或略高于煤制氢＋碳成本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低价绿电＋高利用率＋设备降价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≤0.15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≥5000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≤12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具备对灰氢的平价竞争力</w:t>
            </w:r>
          </w:p>
        </w:tc>
      </w:tr>
    </w:tbl>
    <w:p>
      <w:pPr>
        <w:pStyle w:val="BlockText"/>
      </w:pPr>
      <w:r>
        <w:t xml:space="preserve">说明：以上为基于公开参数的情景估算，用于说明敏感性方向，不构成项目投资依据。煤制氢成本在不计碳成本时约为 10—15 元/kg 区间。</w:t>
      </w:r>
    </w:p>
    <w:p>
      <w:pPr>
        <w:pStyle w:val="FirstParagraph"/>
      </w:pPr>
      <w:r>
        <w:rPr>
          <w:bCs/>
          <w:b/>
        </w:rPr>
        <w:t xml:space="preserve">三条降本主线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电</w:t>
      </w:r>
      <w:r>
        <w:t xml:space="preserve">：风光资源区自建电源、配置储能与柔性调度，提高电解槽年利用小时数；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槽</w:t>
      </w:r>
      <w:r>
        <w:t xml:space="preserve">：单槽大型化、电流密度提升、宽功率波动运行、PEM 贵金属减量；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链</w:t>
      </w:r>
      <w:r>
        <w:t xml:space="preserve">：就地转化为绿氨/绿醇，绕开高成本的长距离纯氢运输。</w:t>
      </w:r>
    </w:p>
    <w:bookmarkEnd w:id="30"/>
    <w:bookmarkStart w:id="31" w:name="X67bcca0d90d59c1e024247bffe11f4f858fddba"/>
    <w:p>
      <w:pPr>
        <w:pStyle w:val="Heading3"/>
      </w:pPr>
      <w:r>
        <w:t xml:space="preserve">3.4 关键瓶颈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瓶颈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表现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可能的政策与市场工具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消纳不足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项目建成后实际负荷率低，“建而不用”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以“用氢方”为核心配置项目；化工园区绿氢替代比例引导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价格缺口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绿氢与灰氢存在价差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碳市场扩围、绿氢认证与绿证衔接、出口绿色燃料溢价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储运瓶颈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长距离运氢成本高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输氢管道示范、液氢民用标准、氨/甲醇载氢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管理属性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氢长期按危险化学品管理，制氢需进化工园区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落实《能源法》能源属性，探索非化工园区可再生能源制氢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标准与认证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绿氢定义、碳足迹核算口径不一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统一绿氢/低碳氢认证、与国际规则互认</w:t>
            </w:r>
          </w:p>
        </w:tc>
      </w:tr>
    </w:tbl>
    <w:bookmarkEnd w:id="31"/>
    <w:bookmarkStart w:id="32" w:name="X501abd2cb34a17482004b37a94c5edf2324f514"/>
    <w:p>
      <w:pPr>
        <w:pStyle w:val="Heading3"/>
      </w:pPr>
      <w:r>
        <w:t xml:space="preserve">3.5 “十五五”判断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场景排序</w:t>
      </w:r>
      <w:r>
        <w:t xml:space="preserve">：绿氨、绿醇（含绿色航运燃料）＞炼化替代＞氢冶金＞重卡与港口物流＞分布式发电与储能＞乘用车。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空间格局</w:t>
      </w:r>
      <w:r>
        <w:t xml:space="preserve">：“西部制氢、就地转化、东部用氢与出口”，东部沿海港口城市（含上海）的角色是</w:t>
      </w:r>
      <w:r>
        <w:rPr>
          <w:bCs/>
          <w:b/>
        </w:rPr>
        <w:t xml:space="preserve">绿色燃料加注枢纽、贸易与认证中心、高端装备与总部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产业链价值转移</w:t>
      </w:r>
      <w:r>
        <w:t xml:space="preserve">：设备环节价格快速下行、竞争加剧，价值向“低价绿电获取能力＋下游长协消纳＋认证与贸易”转移。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四可控核聚变技术路线研发示范与产业链"/>
    <w:p>
      <w:pPr>
        <w:pStyle w:val="Heading2"/>
      </w:pPr>
      <w:r>
        <w:t xml:space="preserve">四、可控核聚变：技术路线、研发示范与产业链</w:t>
      </w:r>
    </w:p>
    <w:bookmarkStart w:id="34" w:name="X5f998d333320748d6bddab5a863144a38adaaea"/>
    <w:p>
      <w:pPr>
        <w:pStyle w:val="Heading3"/>
      </w:pPr>
      <w:r>
        <w:t xml:space="preserve">4.1 基本原理与“三道门槛”</w:t>
      </w:r>
    </w:p>
    <w:p>
      <w:pPr>
        <w:pStyle w:val="FirstParagraph"/>
      </w:pPr>
      <w:r>
        <w:t xml:space="preserve">聚变能利用轻原子核（主流为氘和氚）在上亿摄氏度的等离子体中聚合释放的能量。实现聚变发电要依次跨过三道门槛：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科学可行</w:t>
      </w:r>
      <w:r>
        <w:t xml:space="preserve">：等离子体温度、密度、约束时间满足点火条件（劳森判据），能量增益 Q &gt; 1；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工程可行</w:t>
      </w:r>
      <w:r>
        <w:t xml:space="preserve">：长时间稳态运行，解决第一壁热负荷与中子辐照、氚增殖与燃料循环、遥操作维护等工程问题，工程增益显著大于 1；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经济可行</w:t>
      </w:r>
      <w:r>
        <w:t xml:space="preserve">：电站可用率、建造成本、度电成本具备与其他清洁能源竞争的能力。</w:t>
      </w:r>
    </w:p>
    <w:p>
      <w:pPr>
        <w:pStyle w:val="FirstParagraph"/>
      </w:pPr>
      <w:r>
        <w:t xml:space="preserve">当前全球处在</w:t>
      </w:r>
      <w:r>
        <w:rPr>
          <w:bCs/>
          <w:b/>
        </w:rPr>
        <w:t xml:space="preserve">第一道门槛已在惯性约束路线上被证明、磁约束路线正向第二道门槛冲刺</w:t>
      </w:r>
      <w:r>
        <w:t xml:space="preserve">的阶段。2022 年底美国国家点火装置（NIF）首次实现靶丸能量增益大于 1，此后多次重复并提高增益；磁约束方面，ITER 计划持续建设，各国紧凑型装置加速推进。</w:t>
      </w:r>
    </w:p>
    <w:bookmarkEnd w:id="34"/>
    <w:bookmarkStart w:id="35" w:name="X6250dc860632fe1a427cbc6b4efd8da3651bc55"/>
    <w:p>
      <w:pPr>
        <w:pStyle w:val="Heading3"/>
      </w:pPr>
      <w:r>
        <w:t xml:space="preserve">4.2 技术路线比较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路线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代表装置 / 机构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优势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挑战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产业化节奏判断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大型常规托卡马克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ITER、EAST、HL-3、CFETR 预研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物理基础最扎实、数据积累最多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体积大、造价高、建设周期长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国家队主导，是工程数据底座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紧凑型高场托卡马克（高温超导）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BEST（合肥）、SPARC（美国 CFS）、国内多家民营企业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磁场强度提升可大幅缩小装置体积与造价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高温超导磁体工程、中子屏蔽、高热流第一壁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2030 年前后可能出现 Q &gt; 1 的工程验证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球形环（球形托卡马克）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国内外多家民营企业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高比压、结构紧凑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中心柱空间受限、屏蔽难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示范装置阶段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仿星器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W7-X（德国）等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天然稳态、无大电流破裂风险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三维线圈设计与制造极复杂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制造与设计软件是关键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场反位形 / 磁惯性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美国 TAE、Helion 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结构简单、可能直接发电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约束性能与稳定性尚待证明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高风险高回报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激光惯性约束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NIF（美国）、国内相关装置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已实现靶丸增益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重复频率、驱动器效率、靶制造成本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能源化路径较长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Z 箍缩 / 脉冲功率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国内外研究机构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能量密度高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重复频率与部件寿命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研发阶段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氢硼等先进燃料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新奥（EXL-50 系列）等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基本无中子、放射性小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所需温度远高于氘氚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长期探索</w:t>
            </w:r>
          </w:p>
        </w:tc>
      </w:tr>
    </w:tbl>
    <w:p>
      <w:pPr>
        <w:pStyle w:val="BodyText"/>
      </w:pPr>
      <w:r>
        <w:rPr>
          <w:bCs/>
          <w:b/>
        </w:rPr>
        <w:t xml:space="preserve">判断</w:t>
      </w:r>
      <w:r>
        <w:t xml:space="preserve">：“十五五”期间，</w:t>
      </w:r>
      <w:r>
        <w:rPr>
          <w:bCs/>
          <w:b/>
        </w:rPr>
        <w:t xml:space="preserve">高温超导紧凑型托卡马克</w:t>
      </w:r>
      <w:r>
        <w:t xml:space="preserve">是国家队与民营资本最集中的方向，也是产业链订单最先放量的方向；其他路线作为“多元技术路线”保留期权价值。</w:t>
      </w:r>
    </w:p>
    <w:bookmarkEnd w:id="35"/>
    <w:bookmarkStart w:id="36" w:name="X225b430850cc9dcdaefafe8586f9e264f010cfb"/>
    <w:p>
      <w:pPr>
        <w:pStyle w:val="Heading3"/>
      </w:pPr>
      <w:r>
        <w:t xml:space="preserve">4.3 国内研发示范进展（公开信息）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时间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进展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主体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2025 年 1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EAST 实现 1 亿摄氏度、1066 秒稳态长脉冲高约束模等离子体运行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中国科学院合肥物质科学研究院等离子体物理研究所（合肥）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2025 年 3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HL-3 实现原子核温度与电子温度“双亿度”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中核集团核工业西南物理研究院（成都）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2025 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聚变堆主机关键系统综合研究设施（CRAFT，“夸父”）建设推进并陆续完成关键系统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合肥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2025 年起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紧凑型聚变能实验装置（BEST）进入总装阶段，目标 2027 年前后建成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聚变新能（安徽）有限公司（合肥）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2025 年 7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中国聚变能源有限公司成立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中核集团牵头（上海）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2024 年以来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多家民营企业高温超导装置实现首次等离子体放电或建成磁体样机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上海、合肥、西安、成都、深圳等地企业</w:t>
            </w:r>
          </w:p>
        </w:tc>
      </w:tr>
    </w:tbl>
    <w:p>
      <w:pPr>
        <w:pStyle w:val="BlockText"/>
      </w:pPr>
      <w:r>
        <w:t xml:space="preserve">注：装置参数与时间节点以各主体官方发布为准。</w:t>
      </w:r>
    </w:p>
    <w:bookmarkEnd w:id="36"/>
    <w:bookmarkStart w:id="37" w:name="Xccc951ff934a8e55365a9e95b1af4eacdd89497"/>
    <w:p>
      <w:pPr>
        <w:pStyle w:val="Heading3"/>
      </w:pPr>
      <w:r>
        <w:t xml:space="preserve">4.4 聚变产业链图谱</w:t>
      </w:r>
    </w:p>
    <w:p>
      <w:pPr>
        <w:pStyle w:val="SourceCode"/>
      </w:pPr>
      <w:r>
        <w:rPr>
          <w:rStyle w:val="VerbatimChar"/>
          <w:rFonts w:ascii="Consolas" w:hAnsi="Consolas" w:cs="Consolas" w:eastAsia="Microsoft YaHei"/>
          <w:sz w:val="17"/>
        </w:rPr>
        <w:t xml:space="preserve">上游：材料与基础部件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超导材料：第二代高温超导（REBCO）带材、低温超导（NbTi / Nb3Sn）线材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结构与功能材料：钨及钨合金、低活化铁素体/马氏体钢、铜合金、碳化硅复合材料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燃料与增殖材料：氘、锂（含锂-6 富集）、铍、锂铅合金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└─ 基础器件：大功率半导体、真空泵阀、低温制冷机、精密传感器</w:t>
      </w:r>
      <w:r>
        <w:br/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中游：核心系统与装备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磁体系统：纵场 / 极向场 / 中心螺管线圈、电流引线、失超保护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真空室与内部部件：真空室、第一壁、偏滤器、包层（氚增殖）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加热与电流驱动：电子回旋（ECRH，含回旋管）、中性束注入（NBI）、离子回旋（ICRH）、低杂波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电源系统：磁体电源、加热电源、无功补偿与电网接入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低温系统：氦制冷 / 液氢级制冷、低温分配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诊断与控制：等离子体诊断、实时控制、AI 等离子体控制与数字孪生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燃料循环：氚工厂、氢同位素分离、真空抽气与燃料回收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└─ 遥操作与维护：远程维护机器人、热室</w:t>
      </w:r>
      <w:r>
        <w:br/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下游：工程、运营与应用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装置总体设计、工程总包、安装调试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聚变实验堆 / 示范堆运营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├─ 衍生应用：聚变中子源（材料辐照、医用同位素）、聚变—裂变混合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└─ 远期：聚变发电、聚变供热、聚变制氢</w:t>
      </w:r>
    </w:p>
    <w:bookmarkEnd w:id="37"/>
    <w:bookmarkStart w:id="38" w:name="Xd90e80c349564beb21cea01045f15ea2cf38b16"/>
    <w:p>
      <w:pPr>
        <w:pStyle w:val="Heading3"/>
      </w:pPr>
      <w:r>
        <w:t xml:space="preserve">4.5 产业链价值判断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环节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技术壁垒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当前订单可见度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外溢市场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投资关注度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高温超导带材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高（民营装置集中采购）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超导电缆、限流器、MRI、感应加热、风电、液氢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超导磁体与失超保护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医疗、科研磁体、粒子加速器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加热系统（回旋管、NBI）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雷达、材料加工、半导体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大功率电源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电解槽电源、储能、电网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真空室与精密制造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半导体设备、航天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第一壁 / 偏滤器材料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航天热防护、核电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低温系统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液氢、氦液化、半导体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诊断、控制与软件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工业控制、AI for Science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氚与燃料循环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低（远期）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同位素、核技术应用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★★★（长期）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核心结论</w:t>
      </w:r>
      <w:r>
        <w:t xml:space="preserve">：聚变产业在“发电”之前就能形成可观的装备与材料市场。地方与投资机构应优先关注**“现在就有订单、未来还能外溢”**的环节。</w:t>
      </w:r>
    </w:p>
    <w:bookmarkEnd w:id="38"/>
    <w:bookmarkStart w:id="39" w:name="X0fb8997d68798c611b070d7f44b926758b40c5d"/>
    <w:p>
      <w:pPr>
        <w:pStyle w:val="Heading3"/>
      </w:pPr>
      <w:r>
        <w:t xml:space="preserve">4.6 路线图判断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阶段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时间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标志性目标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工程验证期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2026—2030 年（“十五五”）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紧凑型装置建成并开展氘氘 / 氘氚实验准备；高温超导带材实现规模化、低成本供给；民营企业完成第二、三代装置迭代；聚变监管框架与标准体系起步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示范堆期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2030—2035 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工程增益显著大于 1 的燃烧等离子体实验；示范堆设计与选址；氚增殖包层工程验证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商业化起步期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2035—2050 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聚变示范电站并网发电，进入商业电站建设</w:t>
            </w:r>
          </w:p>
        </w:tc>
      </w:tr>
    </w:tbl>
    <w:p>
      <w:pPr>
        <w:pStyle w:val="BlockText"/>
      </w:pPr>
      <w:r>
        <w:t xml:space="preserve">路线图为基于公开信息的研判，具有高度不确定性。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五区域格局合肥上海与全国聚变氢能版图"/>
    <w:p>
      <w:pPr>
        <w:pStyle w:val="Heading2"/>
      </w:pPr>
      <w:r>
        <w:t xml:space="preserve">五、区域格局：合肥、上海与全国聚变—氢能版图</w:t>
      </w:r>
    </w:p>
    <w:bookmarkStart w:id="41" w:name="X0d01e32d41de824f4e75423ec6d2b4b4cc09c46"/>
    <w:p>
      <w:pPr>
        <w:pStyle w:val="Heading3"/>
      </w:pPr>
      <w:r>
        <w:t xml:space="preserve">5.1 全国聚变版图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城市 / 区域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核心资源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角色定位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合肥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等离子体物理研究所、EAST、CRAFT、BEST、中国科学技术大学、综合性国家科学中心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大科学装置与工程验证高地</w:t>
            </w:r>
            <w:r>
              <w:rPr>
                <w:rFonts w:ascii="Arial" w:hAnsi="Arial" w:cs="Arial" w:eastAsia="Microsoft YaHei"/>
                <w:sz w:val="18"/>
              </w:rPr>
              <w:t xml:space="preserve">，聚变人才最密集的城市之一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上海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中国聚变能源有限公司、央企与国资平台、高校（复旦、上海交大等）、高端装备与材料、资本市场、民营聚变企业集聚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链主总部、资本与产业配套中心</w:t>
            </w:r>
            <w:r>
              <w:rPr>
                <w:rFonts w:ascii="Arial" w:hAnsi="Arial" w:cs="Arial" w:eastAsia="Microsoft YaHei"/>
                <w:sz w:val="18"/>
              </w:rPr>
              <w:t xml:space="preserve">，民营聚变企业的重要集聚地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成都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核工业西南物理研究院、HL-3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国家队磁约束研究重镇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北京 / 河北廊坊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高校与科研院所、新奥（氢硼路线）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基础研究与先进燃料路线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西安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高校与民营紧凑型装置企业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球形环等路线探索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深圳 / 粤港澳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资本、电子与精密制造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民营企业与供应链配套</w:t>
            </w:r>
          </w:p>
        </w:tc>
      </w:tr>
    </w:tbl>
    <w:bookmarkEnd w:id="41"/>
    <w:bookmarkStart w:id="42" w:name="X4fac975a14232d0974bdaaa25e4a7c5d5189031"/>
    <w:p>
      <w:pPr>
        <w:pStyle w:val="Heading3"/>
      </w:pPr>
      <w:r>
        <w:t xml:space="preserve">5.2 全国氢能版图（简要）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区域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西北、华北、东北（内蒙古、新疆、甘肃、宁夏、吉林等）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风光资源丰富，</w:t>
            </w: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绿氢 / 绿氨 / 绿醇生产基地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京津冀、长三角、珠三角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燃料电池汽车示范城市群，</w:t>
            </w: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装备制造、应用场景与总部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沿海港口（上海、宁波舟山、广州、天津等）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Arial" w:hAnsi="Arial" w:cs="Arial" w:eastAsia="Microsoft YaHei"/>
                <w:b/>
                <w:sz w:val="18"/>
              </w:rPr>
              <w:t xml:space="preserve">绿色航运燃料加注、贸易与出口</w:t>
            </w:r>
          </w:p>
        </w:tc>
      </w:tr>
    </w:tbl>
    <w:bookmarkEnd w:id="42"/>
    <w:bookmarkStart w:id="43" w:name="Xc66dea078925fe60f84af305f7b64864b0ef16a"/>
    <w:p>
      <w:pPr>
        <w:pStyle w:val="Heading3"/>
      </w:pPr>
      <w:r>
        <w:t xml:space="preserve">5.3 长三角的独特优势</w:t>
      </w:r>
    </w:p>
    <w:p>
      <w:pPr>
        <w:pStyle w:val="FirstParagraph"/>
      </w:pPr>
      <w:r>
        <w:t xml:space="preserve">长三角同时具备：合肥的聚变大装置和人才、上海的央企链主与资本、江浙的高端装备与材料制造、宁波舟山与上海港的绿色燃料加注与贸易能力。</w:t>
      </w:r>
      <w:r>
        <w:rPr>
          <w:bCs/>
          <w:b/>
        </w:rPr>
        <w:t xml:space="preserve">这是国内少数能在两到三小时高铁圈内同时打通“聚变装置—核心部件—资本—氢能场景”的区域。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六企业观察合肥星核聚变与东昇聚变"/>
    <w:p>
      <w:pPr>
        <w:pStyle w:val="Heading2"/>
      </w:pPr>
      <w:r>
        <w:t xml:space="preserve">六、企业观察：合肥星核聚变与东昇聚变</w:t>
      </w:r>
    </w:p>
    <w:p>
      <w:pPr>
        <w:pStyle w:val="BlockText"/>
      </w:pPr>
      <w:r>
        <w:t xml:space="preserve">本章基于近期交流形成的观察框架。企业具体参数（装置指标、融资信息、团队背景、时间表等）均标注为“待确认”，须经企业书面核实后方可对外引用。</w:t>
      </w:r>
    </w:p>
    <w:bookmarkStart w:id="45" w:name="X80373ec401141bdbe94995ebda7f96deac491a1"/>
    <w:p>
      <w:pPr>
        <w:pStyle w:val="Heading3"/>
      </w:pPr>
      <w:r>
        <w:t xml:space="preserve">6.1 合肥星核聚变能源科技有限公司</w:t>
      </w:r>
    </w:p>
    <w:p>
      <w:pPr>
        <w:pStyle w:val="FirstParagraph"/>
      </w:pPr>
      <w:r>
        <w:rPr>
          <w:bCs/>
          <w:b/>
        </w:rPr>
        <w:t xml:space="preserve">基本画像（待企业确认）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维度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观察要点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所在地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安徽合肥，依托合肥聚变人才与大科学装置生态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已知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技术路线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〔托卡马克 / 紧凑高场 / 其他，待确认〕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核心团队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〔创始人背景、与合肥聚变科研体系的渊源，待确认〕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装置与里程碑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〔已建 / 在建装置名称、关键参数、下一里程碑节点，待确认〕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部件与外溢能力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〔是否具备磁体、电源、加热、诊断等可对外销售能力，待确认〕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融资阶段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〔轮次、主要投资方，待确认〕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落地诉求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〔场地、资金、人才、应用场景、上海或其他城市布局意向，待确认〕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待确认</w:t>
            </w:r>
          </w:p>
        </w:tc>
      </w:tr>
    </w:tbl>
    <w:p>
      <w:pPr>
        <w:pStyle w:val="BodyText"/>
      </w:pPr>
      <w:r>
        <w:rPr>
          <w:bCs/>
          <w:b/>
        </w:rPr>
        <w:t xml:space="preserve">合肥民营聚变企业的共性优势</w:t>
      </w:r>
    </w:p>
    <w:p>
      <w:pPr>
        <w:numPr>
          <w:ilvl w:val="0"/>
          <w:numId w:val="1008"/>
        </w:numPr>
        <w:pStyle w:val="Compact"/>
      </w:pPr>
      <w:r>
        <w:t xml:space="preserve">贴近 EAST、CRAFT、BEST 等装置，工程人才、供应商和测试条件可得性高；</w:t>
      </w:r>
    </w:p>
    <w:p>
      <w:pPr>
        <w:numPr>
          <w:ilvl w:val="0"/>
          <w:numId w:val="1008"/>
        </w:numPr>
        <w:pStyle w:val="Compact"/>
      </w:pPr>
      <w:r>
        <w:t xml:space="preserve">合肥在“政府引导基金＋产业链招商”方面经验丰富，对硬科技长周期投资接受度较高；</w:t>
      </w:r>
    </w:p>
    <w:p>
      <w:pPr>
        <w:numPr>
          <w:ilvl w:val="0"/>
          <w:numId w:val="1008"/>
        </w:numPr>
        <w:pStyle w:val="Compact"/>
      </w:pPr>
      <w:r>
        <w:t xml:space="preserve">与国家队存在人才流动和技术合作的天然通道。</w:t>
      </w:r>
    </w:p>
    <w:p>
      <w:pPr>
        <w:pStyle w:val="FirstParagraph"/>
      </w:pPr>
      <w:r>
        <w:rPr>
          <w:bCs/>
          <w:b/>
        </w:rPr>
        <w:t xml:space="preserve">共性挑战</w:t>
      </w:r>
    </w:p>
    <w:p>
      <w:pPr>
        <w:numPr>
          <w:ilvl w:val="0"/>
          <w:numId w:val="1009"/>
        </w:numPr>
        <w:pStyle w:val="Compact"/>
      </w:pPr>
      <w:r>
        <w:t xml:space="preserve">与国家队和其他民营企业在人才、供应商产能上存在竞争；</w:t>
      </w:r>
    </w:p>
    <w:p>
      <w:pPr>
        <w:numPr>
          <w:ilvl w:val="0"/>
          <w:numId w:val="1009"/>
        </w:numPr>
        <w:pStyle w:val="Compact"/>
      </w:pPr>
      <w:r>
        <w:t xml:space="preserve">需在国家装置“大树”之外形成差异化路线或差异化产品；</w:t>
      </w:r>
    </w:p>
    <w:p>
      <w:pPr>
        <w:numPr>
          <w:ilvl w:val="0"/>
          <w:numId w:val="1009"/>
        </w:numPr>
        <w:pStyle w:val="Compact"/>
      </w:pPr>
      <w:r>
        <w:t xml:space="preserve">资本、总部职能、国际化合作和高端客户往往需要借助上海等城市。</w:t>
      </w:r>
    </w:p>
    <w:p>
      <w:pPr>
        <w:pStyle w:val="FirstParagraph"/>
      </w:pPr>
      <w:r>
        <w:rPr>
          <w:bCs/>
          <w:b/>
        </w:rPr>
        <w:t xml:space="preserve">建议跟进问题清单（供下次交流使用）</w:t>
      </w:r>
    </w:p>
    <w:p>
      <w:pPr>
        <w:numPr>
          <w:ilvl w:val="0"/>
          <w:numId w:val="1010"/>
        </w:numPr>
        <w:pStyle w:val="Compact"/>
      </w:pPr>
      <w:r>
        <w:t xml:space="preserve">技术路线选择的核心理由，与 BEST 及其他民营企业的差异点是什么？</w:t>
      </w:r>
    </w:p>
    <w:p>
      <w:pPr>
        <w:numPr>
          <w:ilvl w:val="0"/>
          <w:numId w:val="1010"/>
        </w:numPr>
        <w:pStyle w:val="Compact"/>
      </w:pPr>
      <w:r>
        <w:t xml:space="preserve">未来 36 个月内最关键的三个工程里程碑及验证方式？</w:t>
      </w:r>
    </w:p>
    <w:p>
      <w:pPr>
        <w:numPr>
          <w:ilvl w:val="0"/>
          <w:numId w:val="1010"/>
        </w:numPr>
        <w:pStyle w:val="Compact"/>
      </w:pPr>
      <w:r>
        <w:t xml:space="preserve">哪些部件已经自研、哪些外购，对外销售部件的可能性和时间表？</w:t>
      </w:r>
    </w:p>
    <w:p>
      <w:pPr>
        <w:numPr>
          <w:ilvl w:val="0"/>
          <w:numId w:val="1010"/>
        </w:numPr>
        <w:pStyle w:val="Compact"/>
      </w:pPr>
      <w:r>
        <w:t xml:space="preserve">融资节奏与资金需求，是否考虑引入央企、国资或产业资本？</w:t>
      </w:r>
    </w:p>
    <w:p>
      <w:pPr>
        <w:numPr>
          <w:ilvl w:val="0"/>
          <w:numId w:val="1010"/>
        </w:numPr>
        <w:pStyle w:val="Compact"/>
      </w:pPr>
      <w:r>
        <w:t xml:space="preserve">在长三角的布局设想：合肥做什么、上海做什么？</w:t>
      </w:r>
    </w:p>
    <w:p>
      <w:pPr>
        <w:numPr>
          <w:ilvl w:val="0"/>
          <w:numId w:val="1010"/>
        </w:numPr>
        <w:pStyle w:val="Compact"/>
      </w:pPr>
      <w:r>
        <w:t xml:space="preserve">对政府最希望得到的三项支持是什么（场地、首台套、应用场景、人才、监管试点）？</w:t>
      </w:r>
    </w:p>
    <w:bookmarkEnd w:id="45"/>
    <w:bookmarkStart w:id="46" w:name="X7427fe01fdeabdcca251a2ea5e89fa5b63844fe"/>
    <w:p>
      <w:pPr>
        <w:pStyle w:val="Heading3"/>
      </w:pPr>
      <w:r>
        <w:t xml:space="preserve">6.2 东昇聚变（上海）</w:t>
      </w:r>
    </w:p>
    <w:p>
      <w:pPr>
        <w:pStyle w:val="FirstParagraph"/>
      </w:pPr>
      <w:r>
        <w:rPr>
          <w:bCs/>
          <w:b/>
        </w:rPr>
        <w:t xml:space="preserve">基本画像（基于前期沟通，对外引用前须经企业确认）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维度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观察要点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所在地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上海，现阶段以杨浦为总部、研发与高校协同窗口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发展阶段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已完成多轮融资，下一轮在推进中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政府关系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已与市级科技、经济信息化、国资等相关部门建立联系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落地方向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重资产装置与中试制造倾向在浦东（金桥 / 张江）比选；杨浦承担总部、研发、人才与高校协同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关键需求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适配大装置的工业场域（荷载、货梯、净高、净深）、可执行的产业政策包、长期资本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落地原则（前期研究形成的判断）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重资产看三件事</w:t>
      </w:r>
      <w:r>
        <w:t xml:space="preserve">：区级财政能否承载、工业场域能否容纳装置、建筑荷载 / 货梯 / 净高能否过关；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轻资产看三件事</w:t>
      </w:r>
      <w:r>
        <w:t xml:space="preserve">：高校与人才、真正具备资金能力的国资平台、政策窗口期长短；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避开同类企业高度集中的板块</w:t>
      </w:r>
      <w:r>
        <w:t xml:space="preserve">，防止土地、人才、政策资源被同场竞争摊薄；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把税收爬坡曲线写进用地协议</w:t>
      </w:r>
      <w:r>
        <w:t xml:space="preserve">：低价供地换长期税收，曲线讲不清不急于拿地。</w:t>
      </w:r>
    </w:p>
    <w:bookmarkEnd w:id="46"/>
    <w:bookmarkStart w:id="47" w:name="X00c5e97e1865b6ec6029ec2eebfcdb936b85a60"/>
    <w:p>
      <w:pPr>
        <w:pStyle w:val="Heading3"/>
      </w:pPr>
      <w:r>
        <w:t xml:space="preserve">6.3 两家企业的对照与协同可能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维度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合肥星核聚变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东昇聚变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协同空间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区位优势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大装置生态、工程人才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资本、总部、链主、高端制造、国际化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合肥工程验证＋上海总部与配套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路线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待确认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待确认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若路线不同，可在部件、测试、人才培训上合作而非直接竞争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供应链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合肥装置供应商体系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长三角高端装备与材料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联合采购高温超导带材、共享测试平台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政府资源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安徽省、合肥市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上海市、浦东、杨浦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纳入长三角一体化科技协同项目</w:t>
            </w:r>
          </w:p>
        </w:tc>
      </w:tr>
    </w:tbl>
    <w:p>
      <w:pPr>
        <w:pStyle w:val="BlockText"/>
      </w:pPr>
      <w:r>
        <w:t xml:space="preserve">两家企业是否存在竞争关系、是否有合作意愿，须在后续交流中分别确认，本白皮书不预设结论。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七合肥上海双城协同方案"/>
    <w:p>
      <w:pPr>
        <w:pStyle w:val="Heading2"/>
      </w:pPr>
      <w:r>
        <w:t xml:space="preserve">七、合肥—上海双城协同方案</w:t>
      </w:r>
    </w:p>
    <w:bookmarkStart w:id="49" w:name="Xecd6156da10bda5850efdc7e8271fce7e6822de"/>
    <w:p>
      <w:pPr>
        <w:pStyle w:val="Heading3"/>
      </w:pPr>
      <w:r>
        <w:t xml:space="preserve">7.1 总体结构：“合肥做装置，上海做总部与链主配套，长三角做供应链”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功能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合肥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上海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江浙及周边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大科学装置与工程验证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●主承担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○协同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链主企业与总部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●（中国聚变能源有限公司等）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资本与上市通道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●（科创板、国资基金、外资）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高温超导、材料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精密制造、真空、电源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人才培养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●（中国科大、等离子体所）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●（复旦、上海交大等）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国际合作与标准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氢能场景与绿色燃料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●（港口、化工区、航运）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●（宁波舟山等）</w:t>
            </w:r>
          </w:p>
        </w:tc>
      </w:tr>
    </w:tbl>
    <w:bookmarkEnd w:id="49"/>
    <w:bookmarkStart w:id="50" w:name="Xaff8e551b31bc23e9af4050f634a993ed2c27a0"/>
    <w:p>
      <w:pPr>
        <w:pStyle w:val="Heading3"/>
      </w:pPr>
      <w:r>
        <w:t xml:space="preserve">7.2 五个协同抓手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共建聚变部件测试与认证平台</w:t>
      </w:r>
      <w:r>
        <w:t xml:space="preserve">：依托合肥装置条件做部件辐照、热负荷、磁体测试，依托上海做第三方检测、认证和标准制定。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长三角高温超导联合采购与产能协同</w:t>
      </w:r>
      <w:r>
        <w:t xml:space="preserve">：以民营聚变企业和国家装置的需求为牵引，形成带材长期订单，推动国产带材扩产降本，同时服务液氢、超导电缆等氢能与电网场景。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聚变产业基金接力机制</w:t>
      </w:r>
      <w:r>
        <w:t xml:space="preserve">：合肥引导基金支持早期装置，上海国资与市场化基金承接中后期和产业化轮次，形成“接力”而非“抢项目”。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人才“双聘”与工程师培训</w:t>
      </w:r>
      <w:r>
        <w:t xml:space="preserve">：高校与企业联合培养聚变工程、低温、超导、等离子体控制人才，建立长三角聚变工程师认证体系。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“聚变＋氢能”联合场景</w:t>
      </w:r>
      <w:r>
        <w:t xml:space="preserve">：在上海化工区、临港等区域，探索高温超导电缆、液氢储运、大功率电源等聚变衍生技术在氢能场景中的首台套应用。</w:t>
      </w:r>
    </w:p>
    <w:bookmarkEnd w:id="50"/>
    <w:bookmarkStart w:id="51" w:name="X3ea78b745ecc073b08c18460c7fd8bfc8aa8301"/>
    <w:p>
      <w:pPr>
        <w:pStyle w:val="Heading3"/>
      </w:pPr>
      <w:r>
        <w:t xml:space="preserve">7.3 对上海各板块的角色建议（供讨论）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板块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建议角色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浦东（张江、金桥）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研发、中试与装置制造的主承载区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临港新片区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大型装置与重型制造、绿色燃料与港口场景、国际合作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杨浦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总部、研发、高校协同与人才窗口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闵行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已有聚变产业政策与企业集聚，可作为专业园区，后来企业需评估同类竞争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上海化学工业区、宝山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绿氢替代、氢冶金与氢能装备应用场景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八投资逻辑与商业模式"/>
    <w:p>
      <w:pPr>
        <w:pStyle w:val="Heading2"/>
      </w:pPr>
      <w:r>
        <w:t xml:space="preserve">八、投资逻辑与商业模式</w:t>
      </w:r>
    </w:p>
    <w:bookmarkStart w:id="53" w:name="Xd3dffc54cff8c8d01e2a2af56836922cfccdbf2"/>
    <w:p>
      <w:pPr>
        <w:pStyle w:val="Heading3"/>
      </w:pPr>
      <w:r>
        <w:t xml:space="preserve">8.1 聚变企业的估值逻辑：用“里程碑”替代“收入”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阶段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核心验证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投资者关注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种子 / 天使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团队、路线物理可行性、首台样机设计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团队背景与路线差异化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A—B 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关键部件（尤其磁体）工程化、首台装置放电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工程交付能力与迭代速度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C 轮及以后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等离子体性能里程碑、部件对外销售、示范堆设计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资金续航、产业资本与政府背书、潜在电力用户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Pre-IPO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可验证的 Q 值路线、稳定的部件业务收入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科创板第五套标准等上市路径适配</w:t>
            </w:r>
          </w:p>
        </w:tc>
      </w:tr>
    </w:tbl>
    <w:bookmarkEnd w:id="53"/>
    <w:bookmarkStart w:id="54" w:name="X6283732564bf365fecdd93e2050fab584dc31a4"/>
    <w:p>
      <w:pPr>
        <w:pStyle w:val="Heading3"/>
      </w:pPr>
      <w:r>
        <w:t xml:space="preserve">8.2 收入来源的“三层结构”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近期（1—3 年）</w:t>
      </w:r>
      <w:r>
        <w:t xml:space="preserve">：科研合同、技术服务、部件销售（磁体、电源、诊断系统）、政府项目；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中期（3—7 年）</w:t>
      </w:r>
      <w:r>
        <w:t xml:space="preserve">：高温超导磁体对外销售（医疗、科研、电网）、聚变中子源服务、衍生技术授权；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远期（7 年以上）</w:t>
      </w:r>
      <w:r>
        <w:t xml:space="preserve">：示范堆及电站建设、电力购买协议、聚变供热与制氢。</w:t>
      </w:r>
    </w:p>
    <w:bookmarkEnd w:id="54"/>
    <w:bookmarkStart w:id="55" w:name="X54ba8b8169760cc71309eb0c3db774191624ceb"/>
    <w:p>
      <w:pPr>
        <w:pStyle w:val="Heading3"/>
      </w:pPr>
      <w:r>
        <w:t xml:space="preserve">8.3 绿氢项目的商业模式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模式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适用场景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关键条件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风光氢储一体化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西北、华北资源区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低价绿电、电网接入或离网运行、下游长协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绿氨 / 绿醇出口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沿海与“西部制氢、海港出口”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国际绿色燃料认证、长期承购协议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化工园区就近替代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东部化工园区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碳成本与绿氢溢价机制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港口与重卡物流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港口城市、物流枢纽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车辆补贴、加氢站网络、氢价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装备出口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电解槽、储氢瓶、燃料电池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国际认证与本地化服务</w:t>
            </w:r>
          </w:p>
        </w:tc>
      </w:tr>
    </w:tbl>
    <w:bookmarkEnd w:id="55"/>
    <w:bookmarkStart w:id="56" w:name="X411c3af9c727f518e7c2ec121fcfd12b1b049ca"/>
    <w:p>
      <w:pPr>
        <w:pStyle w:val="Heading3"/>
      </w:pPr>
      <w:r>
        <w:t xml:space="preserve">8.4 投资机构可关注的交叉标的</w:t>
      </w:r>
    </w:p>
    <w:p>
      <w:pPr>
        <w:numPr>
          <w:ilvl w:val="0"/>
          <w:numId w:val="1014"/>
        </w:numPr>
        <w:pStyle w:val="Compact"/>
      </w:pPr>
      <w:r>
        <w:t xml:space="preserve">同时服务聚变与氢能的</w:t>
      </w:r>
      <w:r>
        <w:rPr>
          <w:bCs/>
          <w:b/>
        </w:rPr>
        <w:t xml:space="preserve">高温超导带材、低温制冷、液氢装备</w:t>
      </w:r>
      <w:r>
        <w:t xml:space="preserve">企业；</w:t>
      </w:r>
    </w:p>
    <w:p>
      <w:pPr>
        <w:numPr>
          <w:ilvl w:val="0"/>
          <w:numId w:val="1014"/>
        </w:numPr>
        <w:pStyle w:val="Compact"/>
      </w:pPr>
      <w:r>
        <w:t xml:space="preserve">同时服务电解槽与聚变装置的</w:t>
      </w:r>
      <w:r>
        <w:rPr>
          <w:bCs/>
          <w:b/>
        </w:rPr>
        <w:t xml:space="preserve">大功率电源与电力电子</w:t>
      </w:r>
      <w:r>
        <w:t xml:space="preserve">企业；</w:t>
      </w:r>
    </w:p>
    <w:p>
      <w:pPr>
        <w:numPr>
          <w:ilvl w:val="0"/>
          <w:numId w:val="1014"/>
        </w:numPr>
        <w:pStyle w:val="Compact"/>
      </w:pPr>
      <w:r>
        <w:t xml:space="preserve">同时服务储氢与聚变燃料循环的</w:t>
      </w:r>
      <w:r>
        <w:rPr>
          <w:bCs/>
          <w:b/>
        </w:rPr>
        <w:t xml:space="preserve">储氢合金与同位素分离</w:t>
      </w:r>
      <w:r>
        <w:t xml:space="preserve">企业。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九风险清单"/>
    <w:p>
      <w:pPr>
        <w:pStyle w:val="Heading2"/>
      </w:pPr>
      <w:r>
        <w:t xml:space="preserve">九、风险清单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风险类别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具体表现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应对思路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技术风险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等离子体性能不达预期、磁体失超、材料寿命不足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多元路线布局；以部件业务对冲装置风险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工程与进度风险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装置建设延期、供应链瓶颈（带材、回旋管）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关键部件双供应商；提前锁定长期订单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资金续航风险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长周期重投入，融资窗口波动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国资与产业资本接力；里程碑式分期投入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监管不确定性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聚变装置安全监管框架尚在建立，氚管理要求待明确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主动参与标准制定；与监管部门早沟通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地方竞争与重复建设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多地争抢同类项目，政策加码导致“内卷”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按比较优势定位；区域协同分工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估值泡沫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概念炒作、里程碑口径不一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统一第三方验证与信息披露口径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绿氢消纳风险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项目建成后负荷率低、价格缺口长期存在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以用氢方为中心配置项目；碳价与认证机制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用地与税收对赌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低价供地附带税收承诺，产出爬坡慢导致违约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协议中写清宽限期与爬坡曲线；自用面积与产出匹配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2" w:name="十政策建议"/>
    <w:p>
      <w:pPr>
        <w:pStyle w:val="Heading2"/>
      </w:pPr>
      <w:r>
        <w:t xml:space="preserve">十、政策建议</w:t>
      </w:r>
    </w:p>
    <w:bookmarkStart w:id="59" w:name="Xa5607073703c7fe160a8e1318d53487e745dd41"/>
    <w:p>
      <w:pPr>
        <w:pStyle w:val="Heading3"/>
      </w:pPr>
      <w:r>
        <w:t xml:space="preserve">10.1 国家层面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出台未来产业中氢能和核聚变能的专项实施方案</w:t>
      </w:r>
      <w:r>
        <w:t xml:space="preserve">，分别明确“十五五”期间绿氢规模化和聚变工程验证的阶段目标。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建立区别于裂变核电的聚变安全监管框架</w:t>
      </w:r>
      <w:r>
        <w:t xml:space="preserve">，按装置风险等级分类管理，明确氚使用与管理规则，为民营装置提供可预期的审批路径。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落实氢能“能源属性”</w:t>
      </w:r>
      <w:r>
        <w:t xml:space="preserve">，探索在非化工园区建设可再生能源制氢项目，完善绿氢认证与碳核算标准，推动与国际规则互认。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设立聚变关键部件首台（套）与首批次保险补偿目录</w:t>
      </w:r>
      <w:r>
        <w:t xml:space="preserve">，覆盖高温超导磁体、回旋管、偏滤器部件等。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推动国家装置向民营企业有序开放</w:t>
      </w:r>
      <w:r>
        <w:t xml:space="preserve">测试条件与数据，形成“国家队搭平台、多主体试路线”的创新格局。</w:t>
      </w:r>
    </w:p>
    <w:bookmarkEnd w:id="59"/>
    <w:bookmarkStart w:id="60" w:name="Xd863f26685cf47eb14f5f1fd4c920ce7fafad04"/>
    <w:p>
      <w:pPr>
        <w:pStyle w:val="Heading3"/>
      </w:pPr>
      <w:r>
        <w:t xml:space="preserve">10.2 地方层面（以合肥、上海为例）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按比较优势定位</w:t>
      </w:r>
      <w:r>
        <w:t xml:space="preserve">：合肥强化装置与工程验证，上海强化链主总部、资本、材料与装备配套，避免装置重复建设。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建设专业化载体</w:t>
      </w:r>
      <w:r>
        <w:t xml:space="preserve">：针对聚变企业对荷载、净高、货梯、电力容量、电磁与振动的特殊要求，规划专用产业空间，而非简单套用通用研发楼宇。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设计“长周期友好”的用地与税收机制</w:t>
      </w:r>
      <w:r>
        <w:t xml:space="preserve">：延长税收对赌宽限期，按里程碑而非产值考核早期企业。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组建长三角聚变产业联盟与基金接力机制</w:t>
      </w:r>
      <w:r>
        <w:t xml:space="preserve">，推动跨省联合采购、人才双聘和测试平台共享。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开放氢能与聚变衍生技术应用场景</w:t>
      </w:r>
      <w:r>
        <w:t xml:space="preserve">：在化工区、港口、临港等区域为高温超导电缆、液氢储运、大功率电源提供首台套示范。</w:t>
      </w:r>
    </w:p>
    <w:bookmarkEnd w:id="60"/>
    <w:bookmarkStart w:id="61" w:name="Xf77d45b4d130ef57d2dcd2641c900a7ada3a0ad"/>
    <w:p>
      <w:pPr>
        <w:pStyle w:val="Heading3"/>
      </w:pPr>
      <w:r>
        <w:t xml:space="preserve">10.3 企业层面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以部件能力对冲装置风险</w:t>
      </w:r>
      <w:r>
        <w:t xml:space="preserve">：尽早形成可对外销售的部件或技术服务收入。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里程碑公开透明</w:t>
      </w:r>
      <w:r>
        <w:t xml:space="preserve">：采用可第三方验证的指标披露进展，建立长期信用。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“两地布局”而非“多地撒网”</w:t>
      </w:r>
      <w:r>
        <w:t xml:space="preserve">：明确装置所在地与总部所在地，集中资源。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重视政府事务与产业落地专业能力</w:t>
      </w:r>
      <w:r>
        <w:t xml:space="preserve">：把政策窗口、用地条件、税收对赌、监管沟通前置纳入决策。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十一20262030-年观察指标与路线图"/>
    <w:p>
      <w:pPr>
        <w:pStyle w:val="Heading2"/>
      </w:pPr>
      <w:r>
        <w:t xml:space="preserve">十一、2026—2030 年观察指标与路线图</w:t>
      </w:r>
    </w:p>
    <w:bookmarkStart w:id="63" w:name="Xa5f919c76f6d103e490c01a2726a24483b60767"/>
    <w:p>
      <w:pPr>
        <w:pStyle w:val="Heading3"/>
      </w:pPr>
      <w:r>
        <w:t xml:space="preserve">11.1 观察指标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类别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指标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观察意义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聚变·国家队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BEST 建成时间与首轮实验结果；EAST、HL-3 新纪录；CRAFT 成果转化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工程验证进度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聚变·民营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首个 Q &gt; 1 的民营装置；高温超导磁体场强纪录；新一轮融资规模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民营路线可信度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聚变·供应链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国产高温超导带材产能与单价；回旋管等关键部件国产化率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产业链成熟度与成本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聚变·制度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聚变监管框架与标准发布；氚管理规则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商业化制度条件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氢能·规模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可再生能源制氢产能与实际产量、项目负荷率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绿氢是否“真用起来”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氢能·价格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资源区绿氢成本、电解槽单价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平价拐点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氢能·场景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绿氨 / 绿醇出口订单、绿色航运燃料加注量、氢冶金项目投产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消纳是否形成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氢能·制度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非化工园区制氢政策、绿氢认证、碳市场扩围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价格缺口能否被制度弥补</w:t>
            </w:r>
          </w:p>
        </w:tc>
      </w:tr>
    </w:tbl>
    <w:bookmarkEnd w:id="63"/>
    <w:bookmarkStart w:id="64" w:name="X5f3bea57a6a211cfbc3f984a4d0d71800f0134b"/>
    <w:p>
      <w:pPr>
        <w:pStyle w:val="Heading3"/>
      </w:pPr>
      <w:r>
        <w:t xml:space="preserve">11.2 双轮路线图</w:t>
      </w:r>
    </w:p>
    <w:p>
      <w:pPr>
        <w:pStyle w:val="SourceCode"/>
      </w:pPr>
      <w:r>
        <w:rPr>
          <w:rStyle w:val="VerbatimChar"/>
          <w:rFonts w:ascii="Consolas" w:hAnsi="Consolas" w:cs="Consolas" w:eastAsia="Microsoft YaHei"/>
          <w:sz w:val="17"/>
        </w:rPr>
        <w:t xml:space="preserve">             2026        2027        2028        2029        2030        2035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绿氢   ──── 项目集中开工 ── 绿氨/绿醇出口起量 ── 资源区接近平价 ── 规模化替代灰氢 ── 成为工业主力原料之一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             ▲ 认证与碳核算统一      ▲ 输氢管道示范          ▲ 碳市场覆盖化工</w:t>
      </w:r>
      <w:r>
        <w:br/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聚变   ──── 紧凑装置总装 ── BEST 建成 ── 氘氘/氘氚实验准备 ── 燃烧等离子体验证 ── 示范堆设计与建设</w:t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             ▲ 监管框架起步          ▲ 带材规模化降本        ▲ 民营装置 Q 值里程碑</w:t>
      </w:r>
      <w:r>
        <w:br/>
      </w:r>
      <w:r>
        <w:br/>
      </w:r>
      <w:r>
        <w:rPr>
          <w:rStyle w:val="VerbatimChar"/>
          <w:rFonts w:ascii="Consolas" w:hAnsi="Consolas" w:cs="Consolas" w:eastAsia="Microsoft YaHei"/>
          <w:sz w:val="17"/>
        </w:rPr>
        <w:t xml:space="preserve">交汇点 ──── 高温超导、低温、电源供应链共享 ─────────────────────────────── 远期“聚变制氢”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十二附录"/>
    <w:p>
      <w:pPr>
        <w:pStyle w:val="Heading2"/>
      </w:pPr>
      <w:r>
        <w:t xml:space="preserve">十二、附录</w:t>
      </w:r>
    </w:p>
    <w:bookmarkStart w:id="66" w:name="附录-a术语表"/>
    <w:p>
      <w:pPr>
        <w:pStyle w:val="Heading3"/>
      </w:pPr>
      <w:r>
        <w:t xml:space="preserve">附录 A：术语表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术语</w:t>
            </w:r>
          </w:p>
        </w:tc>
        <w:tc>
          <w:tcPr>
            <w:shd w:val="clear" w:color="auto" w:fill="DCE8F3"/>
          </w:tcPr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b/>
                <w:sz w:val="18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绿氢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利用可再生能源电力电解水制取的氢气，生产过程基本无碳排放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灰氢 / 蓝氢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灰氢指由化石能源制取且未捕集二氧化碳的氢；蓝氢指化石能源制氢并配套碳捕集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ALK / PEM / SOEC / AEM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碱性电解 / 质子交换膜电解 / 固体氧化物电解 / 阴离子交换膜电解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托卡马克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利用环形磁场约束高温等离子体的磁约束聚变装置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仿星器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依靠外部三维线圈产生螺旋磁场约束等离子体的装置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高温超导（HTS）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在相对较高温度（如液氮或 20K 左右）下实现超导的材料，主流为 REBCO 带材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Q 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聚变输出功率与外部输入加热功率之比；Q &gt; 1 表示等离子体层面能量增益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高约束模（H 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等离子体能量约束性能显著提升的运行模式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第一壁 / 偏滤器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直接面对等离子体的部件，承受高热负荷与粒子轰击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包层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包围等离子体、用于吸收中子能量并增殖氚的部件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ECRH / NBI / ICRH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Microsoft YaHei"/>
                <w:sz w:val="18"/>
              </w:rPr>
              <w:t xml:space="preserve">电子回旋共振加热 / 中性束注入 / 离子回旋共振加热</w:t>
            </w:r>
          </w:p>
        </w:tc>
      </w:tr>
    </w:tbl>
    <w:bookmarkEnd w:id="66"/>
    <w:bookmarkStart w:id="67" w:name="附录-b主要参考资料"/>
    <w:p>
      <w:pPr>
        <w:pStyle w:val="Heading3"/>
      </w:pPr>
      <w:r>
        <w:t xml:space="preserve">附录 B：主要参考资料</w:t>
      </w:r>
    </w:p>
    <w:p>
      <w:pPr>
        <w:numPr>
          <w:ilvl w:val="0"/>
          <w:numId w:val="1018"/>
        </w:numPr>
        <w:pStyle w:val="Compact"/>
      </w:pPr>
      <w:r>
        <w:t xml:space="preserve">《中华人民共和国国民经济和社会发展第十四个五年规划和 2035 年远景目标纲要》，2021 年 3 月。</w:t>
      </w:r>
    </w:p>
    <w:p>
      <w:pPr>
        <w:numPr>
          <w:ilvl w:val="0"/>
          <w:numId w:val="1018"/>
        </w:numPr>
        <w:pStyle w:val="Compact"/>
      </w:pPr>
      <w:r>
        <w:t xml:space="preserve">国家发展改革委、国家能源局：《氢能产业发展中长期规划（2021—2035 年）》，2022 年 3 月。</w:t>
      </w:r>
    </w:p>
    <w:p>
      <w:pPr>
        <w:numPr>
          <w:ilvl w:val="0"/>
          <w:numId w:val="1018"/>
        </w:numPr>
        <w:pStyle w:val="Compact"/>
      </w:pPr>
      <w:r>
        <w:t xml:space="preserve">《中华人民共和国能源法》，2024 年 11 月通过，2025 年 1 月 1 日起施行。</w:t>
      </w:r>
    </w:p>
    <w:p>
      <w:pPr>
        <w:numPr>
          <w:ilvl w:val="0"/>
          <w:numId w:val="1018"/>
        </w:numPr>
        <w:pStyle w:val="Compact"/>
      </w:pPr>
      <w:r>
        <w:t xml:space="preserve">《中共中央关于制定国民经济和社会发展第十五个五年规划的建议》，2025 年 10 月。</w:t>
      </w:r>
    </w:p>
    <w:p>
      <w:pPr>
        <w:numPr>
          <w:ilvl w:val="0"/>
          <w:numId w:val="1018"/>
        </w:numPr>
        <w:pStyle w:val="Compact"/>
      </w:pPr>
      <w:r>
        <w:t xml:space="preserve">历年国务院《政府工作报告》（2024—2026 年）。</w:t>
      </w:r>
    </w:p>
    <w:p>
      <w:pPr>
        <w:numPr>
          <w:ilvl w:val="0"/>
          <w:numId w:val="1018"/>
        </w:numPr>
        <w:pStyle w:val="Compact"/>
      </w:pPr>
      <w:r>
        <w:t xml:space="preserve">中国科学院合肥物质科学研究院、核工业西南物理研究院、中核集团等单位关于 EAST、HL-3、CRAFT、BEST 及中国聚变能源有限公司的公开发布。</w:t>
      </w:r>
    </w:p>
    <w:p>
      <w:pPr>
        <w:numPr>
          <w:ilvl w:val="0"/>
          <w:numId w:val="1018"/>
        </w:numPr>
        <w:pStyle w:val="Compact"/>
      </w:pPr>
      <w:r>
        <w:t xml:space="preserve">国际原子能机构（IAEA）、国际能源署（IEA）关于聚变能与氢能的年度报告。</w:t>
      </w:r>
    </w:p>
    <w:p>
      <w:pPr>
        <w:numPr>
          <w:ilvl w:val="0"/>
          <w:numId w:val="1018"/>
        </w:numPr>
        <w:pStyle w:val="Compact"/>
      </w:pPr>
      <w:r>
        <w:t xml:space="preserve">前期内部研究：《东昇聚变·政府事务与上海产业落地 90 天工作设想》（2026 年 9 月，内部讨论稿）。</w:t>
      </w:r>
    </w:p>
    <w:p>
      <w:pPr>
        <w:numPr>
          <w:ilvl w:val="0"/>
          <w:numId w:val="1018"/>
        </w:numPr>
        <w:pStyle w:val="Compact"/>
      </w:pPr>
      <w:r>
        <w:t xml:space="preserve">与合肥星核聚变能源科技有限公司创始人交流纪要（2026 年 10 月，待整理）。</w:t>
      </w:r>
    </w:p>
    <w:bookmarkEnd w:id="67"/>
    <w:bookmarkStart w:id="68" w:name="附录-c口径声明"/>
    <w:p>
      <w:pPr>
        <w:pStyle w:val="Heading3"/>
      </w:pPr>
      <w:r>
        <w:t xml:space="preserve">附录 C：口径声明</w:t>
      </w:r>
    </w:p>
    <w:p>
      <w:pPr>
        <w:numPr>
          <w:ilvl w:val="0"/>
          <w:numId w:val="1019"/>
        </w:numPr>
        <w:pStyle w:val="Compact"/>
      </w:pPr>
      <w:r>
        <w:t xml:space="preserve">本白皮书为研究讨论稿，不构成投资建议或任何形式的政策承诺。</w:t>
      </w:r>
    </w:p>
    <w:p>
      <w:pPr>
        <w:numPr>
          <w:ilvl w:val="0"/>
          <w:numId w:val="1019"/>
        </w:numPr>
        <w:pStyle w:val="Compact"/>
      </w:pPr>
      <w:r>
        <w:t xml:space="preserve">政策表述以官方正式文本为准；“十五五”规划纲要的具体指标请以官方发布为准。</w:t>
      </w:r>
    </w:p>
    <w:p>
      <w:pPr>
        <w:numPr>
          <w:ilvl w:val="0"/>
          <w:numId w:val="1019"/>
        </w:numPr>
        <w:pStyle w:val="Compact"/>
      </w:pPr>
      <w:r>
        <w:t xml:space="preserve">成本测算为基于公开参数的情景估算，仅用于说明趋势和敏感性。</w:t>
      </w:r>
    </w:p>
    <w:p>
      <w:pPr>
        <w:numPr>
          <w:ilvl w:val="0"/>
          <w:numId w:val="1019"/>
        </w:numPr>
        <w:pStyle w:val="Compact"/>
      </w:pPr>
      <w:r>
        <w:t xml:space="preserve">涉及企业的信息，凡标注“待确认”者，须经企业书面确认后方可对外使用；涉及企业内部沟通的判断，对外发布前应做脱敏处理。</w:t>
      </w:r>
    </w:p>
    <w:bookmarkEnd w:id="68"/>
    <w:bookmarkEnd w:id="69"/>
    <w:bookmarkEnd w:id="70"/>
    <w:sectPr>
      <w:pgMar w:left="1280" w:right="1280" w:top="1280" w:bottom="12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Microsoft YaHe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Microsoft YaHe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Microsoft YaHe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Microsoft YaHe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Microsoft YaHei"/>
      <w:b/>
      <w:bCs/>
      <w:color w:val="0B3D6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Microsoft YaHei"/>
      <w:b/>
      <w:color w:val="0B3D6B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Microsoft YaHei"/>
      <w:b/>
      <w:bCs/>
      <w:color w:val="0B3D6B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Microsoft YaHei"/>
      <w:b/>
      <w:bCs/>
      <w:color w:val="0B3D6B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Microsoft YaHei"/>
      <w:b/>
      <w:bCs/>
      <w:color w:val="0B3D6B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Microsoft YaHe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Microsoft YaHei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2026-10-06T01:52:22Z</dcterms:created>
  <dcterms:modified xsi:type="dcterms:W3CDTF">2026-10-06T01:52:22Z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