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</w:pPr>
      <w:r>
        <w:rPr>
          <w:rFonts w:ascii="微软雅黑" w:hAnsi="微软雅黑" w:eastAsia="微软雅黑"/>
          <w:b w:val="0"/>
          <w:color w:val="333333"/>
          <w:sz w:val="20"/>
        </w:rPr>
      </w:r>
    </w:p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2"/>
        </w:rPr>
        <w:t>PROJECT BRIEF</w:t>
      </w: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10 月 31 日王德峰老师活动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52"/>
        </w:rPr>
        <w:t>联合运营合作方案</w:t>
      </w:r>
    </w:p>
    <w:p>
      <w:pPr>
        <w:spacing w:before="0" w:after="24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8"/>
        </w:rPr>
        <w:t>对外沟通版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合作定位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双方共同成立 10 月 31 日活动独立项目：合作方提供老师及内容 / IP 资源，我方负责商业化、组织、渠道与现场交付；双方依据资源贡献、获客来源、成本承担及履约责任进行结算。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24"/>
        </w:rPr>
        <w:t>角色：联合主办 / 联合运营方  ·  非渠道代理</w:t>
      </w:r>
    </w:p>
    <w:p>
      <w:pPr>
        <w:spacing w:before="0" w:after="4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版本日期：2026 年 8 月 14 日　　文件属性：商业合作讨论稿｜非最终合同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活动名称、地点、容量等尚未完整确定，正文以“待确认”标示。分成比例与票价为建议，最终以正式合同为准。</w:t>
      </w:r>
    </w:p>
    <w:p>
      <w:r>
        <w:br w:type="page"/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一、合作目标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以安全、合规、专业的标准完成 10 月 31 日活动，兼顾品牌口碑与商业结果。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通过清晰分工和透明结算，让老师 / IP 价值与运营执行价值均得到合理回报。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以本次活动作为一期样板，成功后优先探讨后续人文、哲学及相关知识产品合作。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二、合作原则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38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691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具体含义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身份对等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我方作为联合主办 / 联合运营方参与项目，不仅承担票务渠道职能。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按贡献分配</w:t>
            </w:r>
          </w:p>
        </w:tc>
        <w:tc>
          <w:tcPr>
            <w:tcW w:type="dxa" w:w="691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区分客户来源、招商来源、成本承担和实际履约，分别核算。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风险共担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不设置与项目确定性不匹配的大额前置买断；重大风险按约定分担。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数据透明</w:t>
            </w:r>
          </w:p>
        </w:tc>
        <w:tc>
          <w:tcPr>
            <w:tcW w:type="dxa" w:w="691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统一票务及对账口径，双方可查验报名、退款、赠票和渠道数据。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长期保护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明确客户、社群、企业及赞助资源的归属和保护期，避免绕单。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三、双方分工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92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工作模块</w:t>
            </w:r>
          </w:p>
        </w:tc>
        <w:tc>
          <w:tcPr>
            <w:tcW w:type="dxa" w:w="368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合作方主要职责</w:t>
            </w:r>
          </w:p>
        </w:tc>
        <w:tc>
          <w:tcPr>
            <w:tcW w:type="dxa" w:w="368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我方主要职责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核心资源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落实老师出席；确认主题、内容边界、活动形式及授权链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根据市场反馈协助产品化、场次设计与商业包装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场地与制作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配合确认老师端要求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场地筛选与谈判、舞美视听、物料、供应商和现场统筹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营销与销售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提供可用的内容素材及自有渠道支持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营销方案、海报文案、票务、社群、企业客户及渠道管理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招商与商务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配合权益确认和必要的老师端审核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招商产品设计、客户开发、谈判、签约及权益交付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客户与现场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老师接待及内容环节配合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报名咨询、开票 / 退款协同、签到、安保、应急及复盘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财务与数据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核对对方来源订单及应结款项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建立统一台账，按周期出具销售、成本和结算报告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四、推荐商务结构：按来源分成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以下为用于启动讨论的建议比例。双方可结合最终成本责任、资源投入及独家程度，在区间内确认。不要笼统谈“利润五五分”或“流水五五分”，应按照收入来源、谁承担成本、谁负责履约分别结算。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260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我方建议比例</w:t>
            </w:r>
          </w:p>
        </w:tc>
        <w:tc>
          <w:tcPr>
            <w:tcW w:type="dxa" w:w="192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合作方建议比例</w:t>
            </w:r>
          </w:p>
        </w:tc>
        <w:tc>
          <w:tcPr>
            <w:tcW w:type="dxa" w:w="294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识别口径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我方独立带来的个人报名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60%–70%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30%–40%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我方专属链接 / 二维码 / 邀请码及可核验线索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合作方独立带来的个人报名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20%–30%</w:t>
            </w:r>
          </w:p>
        </w:tc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70%–80%</w:t>
            </w:r>
          </w:p>
        </w:tc>
        <w:tc>
          <w:tcPr>
            <w:tcW w:type="dxa" w:w="294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合作方专属链接 / 二维码 / 邀请码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双方共同渠道报名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50%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联合投放、共同活动或无法合理单独归因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我方引入的赞助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70%–80%</w:t>
            </w:r>
          </w:p>
        </w:tc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20%–30%</w:t>
            </w:r>
          </w:p>
        </w:tc>
        <w:tc>
          <w:tcPr>
            <w:tcW w:type="dxa" w:w="294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我方首次引荐并主导成交、交付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合作方引入的赞助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20%–30%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70%–80%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合作方首次引荐并主导成交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我方开发的企业 / 团体客户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60%–70%</w:t>
            </w:r>
          </w:p>
        </w:tc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30%–40%</w:t>
            </w:r>
          </w:p>
        </w:tc>
        <w:tc>
          <w:tcPr>
            <w:tcW w:type="dxa" w:w="294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我方开发、谈判并维护的组织客户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1A3A5C"/>
                <w:sz w:val="22"/>
              </w:rPr>
              <w:t>建议书面起点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我方独立开发的报名和客户，建议落在 60% : 40%。该比例覆盖获客、活动运营、场地统筹、商务、客户服务、现场执行及风险承担，不是渠道佣金。合作方自有渠道带来的报名，合作方拿大头。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五、票价建议（供双方确认）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本建议针对上海、北京、深圳、杭州等一线及强一线城市，活动时长约 2.5–3 小时的公开人文讲座。核心判断：主力票价定在 499 元，整体平均实收客单价控制在 500–550 元。不建议把 699 元作为全场基础票价，也不建议普通票超过 599 元。场地、容量确定后锁定最终票档。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对外主价格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用 299 元和 399 元降低第一次购买门槛，用 499 元做主力收入，用 699 元和 999 元承接王德峰老师的核心粉丝与高净值客户。499 元是最适合对外传播的标准价格。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5.1 一线及强一线城市推荐票档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票档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建议价格</w:t>
            </w:r>
          </w:p>
        </w:tc>
        <w:tc>
          <w:tcPr>
            <w:tcW w:type="dxa" w:w="15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座位占比</w:t>
            </w:r>
          </w:p>
        </w:tc>
        <w:tc>
          <w:tcPr>
            <w:tcW w:type="dxa" w:w="385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限量引流票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299 元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10%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早鸟、后区座位，制造开售速度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早鸟普通票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399 元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15%</w:t>
            </w:r>
          </w:p>
        </w:tc>
        <w:tc>
          <w:tcPr>
            <w:tcW w:type="dxa" w:w="385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开售前 7–10 天限量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标准票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499 元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核心销售票档，对外传播主价格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优选票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699 元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25%</w:t>
            </w:r>
          </w:p>
        </w:tc>
        <w:tc>
          <w:tcPr>
            <w:tcW w:type="dxa" w:w="385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前区座位、赠书或资料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VIP 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999 元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10%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前排、专属问答、签名书或合影权益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按上表座位占比，票面加权均价约为 559 元。考虑早鸟、团购、渠道优惠、退款等因素，实际收到手里的平均客单价大约在 500–530 元。目标是把平均实收客单价控制在 500–550 元。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5.2 为什么 499 元比较合适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国家统计局 2026 年上半年：全国居民人均可支配收入 22,981 元，中位数 19,036 元；城镇居民人均可支配收入 30,126 元，中位数 26,389 元。换算下来，城镇居民月均可支配收入中位数约 4,398 元。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92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票价</w:t>
            </w:r>
          </w:p>
        </w:tc>
        <w:tc>
          <w:tcPr>
            <w:tcW w:type="dxa" w:w="328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约占城镇月可支配收入中位数</w:t>
            </w:r>
          </w:p>
        </w:tc>
        <w:tc>
          <w:tcPr>
            <w:tcW w:type="dxa" w:w="408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对购买决策的含义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399 元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9.1%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认真想一想会买，适合早鸟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499 元</w:t>
            </w:r>
          </w:p>
        </w:tc>
        <w:tc>
          <w:tcPr>
            <w:tcW w:type="dxa" w:w="328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11.3%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需要认真决策的文化消费，适合做主力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699 元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15.9%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进入粉丝型、高收入型区间，不宜做全场基础价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999 元</w:t>
            </w:r>
          </w:p>
        </w:tc>
        <w:tc>
          <w:tcPr>
            <w:tcW w:type="dxa" w:w="328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22.7%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必须配套前排、问答、签名或合影等可见权益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同期全国居民人均教育文化娱乐支出只有 1,572 元，城镇居民为 1,952 元，折合每月约 262 元和 325 元。一张 499 元门票，已经相当于普通城镇居民约一个半月的教育文化娱乐预算。2026 年上半年城镇居民消费支出名义增长 3.0%、实际增长 2.0%，社会消费品零售增长也比较温和。消费者并非完全不消费，但对非刚需项目会明显比较价格和体验。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因此，对一次约 3 小时、没有学历证书或长期服务的公开人文讲座而言，499 元已经到位；699 元以上应作为优选 / VIP，而不是普通票。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5.3 老师 IP 与价格的边界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王德峰老师的 IP 可以支撑更高价格，但要区分“公开讲座”和“深度课程”。公开资料中，相关长期课程存在 19,800 元、25,800 元等价格，通常是多天或数月的系统课程，面向企业家、高管及深度学习人群，不能直接证明单场讲座应该卖 999 元以上。市场上也存在免费或低价公开课信息，说明普通票必须让人一眼看到“这一场为什么值得买”。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 10 月 31 日只是“老师讲 3 小时”，没有以下附加价值，普通票卖 699 元会比较吃力：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全新主题或具有稀缺性的内容；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较长问答和现场互动；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签名书、讲义或独家资料；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前排、小范围交流或合影；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高规格场地和完整舞台体验；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明确的“本年度少有公开场次”；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企业家、人文社群等高质量观众圈层。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如果没有赠书、问答、合影、独家内容等权益，VIP 不要超过 999 元。如果只是普通阶梯教室或会议厅讲座，主力价格应进一步降到 399 元。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5.4 不同城市的建议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317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城市类型</w:t>
            </w:r>
          </w:p>
        </w:tc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主力标准票</w:t>
            </w:r>
          </w:p>
        </w:tc>
        <w:tc>
          <w:tcPr>
            <w:tcW w:type="dxa" w:w="408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推荐票档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上海、北京、深圳、杭州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499 元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299 / 399 / 499 / 699 / 999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南京、苏州、广州、成都等强二线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399 元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299 / 399 / 599 / 799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普通二三线城市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299 元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199 / 299 / 499 / 699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企业家定向、小规模精品场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999 元以上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999 / 1,599 / 2,999，须含深度交流与圈层服务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5.5 票价不能为了覆盖买断费而硬抬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假设项目总固定成本仍达 25 万元，平均实收客单价按 520 元计，扣除票务平台、退款、税费和渠道成本后，单个付费用户实际贡献可能只有 460–480 元。保本大约需要 250,000 ÷ 470 ≈ 532 名付费用户。若预计只能卖出场馆容量的 80%，场馆至少需要约 665 座，才有机会单靠票务覆盖 25 万元成本。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这意味着：票价不能为了覆盖 10–18 万元买断费而硬抬到 699–999 元。成本结构不合理，不应该让消费者通过高票价替主办方承担。若是 500 座场馆、总成本 25 万元，即使平均实收 520 元，也几乎没有利润空间。这样的项目必须满足至少一个条件：取消大额买断；将总固定成本压到 12–15 万元以内；获得 5–10 万元赞助；引入企业团购；场馆达到 650–800 座；或将活动升级为半天 / 全天精品，再提高客单价。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5.6 先小规模预售，再锁死标准价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1A3A5C"/>
                <w:sz w:val="22"/>
              </w:rPr>
              <w:t>测试方法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确定票价前，先释放 50 张 399 元早鸟票。若 48 小时内售出 70% 以上，再维持 499 元标准价；若售出不足 30%，说明市场真实接受价更接近 299–399 元，而不是 699 元。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5.7 晚宴、企业包桌作为附加产品（待确认）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若另设晚间私享或企业包桌，应与 3 小时公开讲座分开定价，不把晚宴成本摊进 499 元标准票。晚宴私享可单列 1,280–1,680 元；企业包桌（8–10 人）1.2 万–1.8 万 / 桌。个人票负责场面和口碑，企业桌和赞助负责覆盖场地与老师相关成本。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六、备选商务结构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6.1 备选 A：阶梯式票务分成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不支付 10–18 万元固定买断费；按活动累计票务实收收入分段计算，既保障冷启动期运营投入，也让项目成功时 IP 方获得更高回报。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3969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累计票务实收区间</w:t>
            </w:r>
          </w:p>
        </w:tc>
        <w:tc>
          <w:tcPr>
            <w:tcW w:type="dxa" w:w="2664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我方比例</w:t>
            </w:r>
          </w:p>
        </w:tc>
        <w:tc>
          <w:tcPr>
            <w:tcW w:type="dxa" w:w="2664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合作方比例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0–10 万元（含）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10–30 万元（含）部分</w:t>
            </w:r>
          </w:p>
        </w:tc>
        <w:tc>
          <w:tcPr>
            <w:tcW w:type="dxa" w:w="266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60%</w:t>
            </w:r>
          </w:p>
        </w:tc>
        <w:tc>
          <w:tcPr>
            <w:tcW w:type="dxa" w:w="266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30 万元以上部分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266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666666"/>
          <w:sz w:val="21"/>
        </w:rPr>
        <w:t>“实收收入”建议定义为已收取且超过约定退款观察期的口径，并在合同中明确平台手续费、退款及税费的处理方式。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6.2 备选 B：小额基础保障 + 高比例分成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如合作方确需基础保障，可讨论 3–5 万元以内的老师 / 授权相关基础成本，但须与明确的交付节点、退款机制、独家权益及销售分成绑定。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38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触发节点</w:t>
            </w:r>
          </w:p>
        </w:tc>
        <w:tc>
          <w:tcPr>
            <w:tcW w:type="dxa" w:w="238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建议支付比例</w:t>
            </w:r>
          </w:p>
        </w:tc>
        <w:tc>
          <w:tcPr>
            <w:tcW w:type="dxa" w:w="4536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合同生效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不超过 20%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老师书面确认、授权链及基本活动方案齐备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达到可开售条件</w:t>
            </w:r>
          </w:p>
        </w:tc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不超过 30%</w:t>
            </w:r>
          </w:p>
        </w:tc>
        <w:tc>
          <w:tcPr>
            <w:tcW w:type="dxa" w:w="453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场地 / 票务 / 宣传素材通过确认，可正式售票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老师完成活动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余额 50% 以上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按约出席并完成约定内容，无重大违约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EEE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1E1E"/>
                <w:sz w:val="22"/>
              </w:rPr>
              <w:t>不建议结构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由我方单独支付 10–18 万元固定授权费，并同时承担场地、宣传、制作、人员、退款等全部经营风险。该结构需在完整独家权利和充分历史数据支持下另行评估。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七、成本、结算与数据机制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预算先批：活动启动前由双方确认预算表，超预算支出须经双方书面确认。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成本归属清晰：按“谁提出、谁受益、谁确认”界定承担方；共同成本按约定比例分摊。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统一台账：票务、企业客户、赞助、退款、赠票、渠道费和开票信息进入同一项目台账。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定期对账：建议开售后每周对账，活动结束后 10 个工作日内完成初步结算。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现金流隔离：如条件允许，使用项目专用收款账户或双方均可查验的票务后台。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八、关键权利与风险条款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49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条款主题</w:t>
            </w:r>
          </w:p>
        </w:tc>
        <w:tc>
          <w:tcPr>
            <w:tcW w:type="dxa" w:w="680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建议约定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老师确认与取消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老师出席、内容和时长须书面确认；因老师端原因取消 / 延期，已付授权或保障款 100% 退还，并明确已发生不可回收成本的承担。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宣传授权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明确姓名、肖像、简介、海报、短视频、直播 / 录播片段的可用范围、渠道、期限及审批时限。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独家与冲突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明确活动在地域、时间、主题和渠道上的独家范围，并约定冲突活动的处理。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客户与数据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报名数据仅为本项目及经同意的后续转化使用；数据访问、保管、隐私合规及删除机制清晰。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资源保护 / 防绕单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各自引入的企业、赞助商及渠道设 12 个月保护期，未经引入方书面同意不得绕开成交。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社群与二次转化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微信群 / 社群管理权、后续课程推广权和收益分配另行明确，不因本次合作自动转移。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内容成果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活动照片、视频、录音、课件及剪辑内容的著作权、使用权和商业化权利分别约定。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安全与合规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场地报批、消防、安保、广告宣传、发票税务、个人信息保护等责任到人。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九、项目推进建议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13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62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536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目标结果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确认合作结构及授权代表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书面确认联合运营身份，必要时签署保密协议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362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合作方提供老师确认与授权链</w:t>
            </w:r>
          </w:p>
        </w:tc>
        <w:tc>
          <w:tcPr>
            <w:tcW w:type="dxa" w:w="453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出席书面确认、内容边界、历史活动数据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我方提交场地、票价、营销初稿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 299 / 399 / 499 / 699 / 999，并安排 50 张早鸟测试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362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确认归因、预算、后台和结算</w:t>
            </w:r>
          </w:p>
        </w:tc>
        <w:tc>
          <w:tcPr>
            <w:tcW w:type="dxa" w:w="453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收入来源可核验，成本可审批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5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签署正式协议及附件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达到可开售条件后统一对外发布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6</w:t>
            </w:r>
          </w:p>
        </w:tc>
        <w:tc>
          <w:tcPr>
            <w:tcW w:type="dxa" w:w="362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按周复盘销售与风险</w:t>
            </w:r>
          </w:p>
        </w:tc>
        <w:tc>
          <w:tcPr>
            <w:tcW w:type="dxa" w:w="453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活动结束后完成结算及二期合作评估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十、需双方确认的开放事项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49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80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待确认内容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活动基础信息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正式名称、日期 / 时段、城市、场地、容量、形式、主题、时长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票务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最终票档、赠票上限、早鸟 / 团购规则、退改政策、开票主体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IP 与内容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老师确认文件、授权主体、宣传素材、审核流程、录音录像权限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商务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最终分成、税费口径、成本分担、回款节点、独家范围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运营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项目负责人、审批时限、重大事项决策机制、应急预案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长期合作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后续课程优先合作权、客户二次转化及收益安排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十一、给合作方的一页共识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请把我方看成联合运营方，而不是卖票渠道。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10 月 31 日用按来源分成，而不是 10–18 万元买断。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我方独立开发的报名建议 60% : 40%，我方引入的赞助建议 70% : 30%；合作方自己的报名，合作方拿大头。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一线城市 3 小时公开讲座：299 / 399 / 499 / 699 / 999，主力 499 元，平均实收 500–530 元。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这一场是第一期。做成了，再一起做后续哲学、人文和相关知识产品。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下一步建议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双方先用一次 60–90 分钟工作会议确认合作结构、票价方向和开放事项，再由双方指定负责人将共识转化为正式合同与项目排期。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（本文件为沟通方案，不构成要约。最终合作内容以双方签署的协议为准。正式签署前建议由专业律师结合交易主体及所在地法规审阅。）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A3A5C"/>
      </w:pBdr>
    </w:pPr>
    <w:r>
      <w:rPr>
        <w:rFonts w:ascii="微软雅黑" w:hAnsi="微软雅黑" w:eastAsia="微软雅黑"/>
        <w:b w:val="0"/>
        <w:color w:val="666666"/>
        <w:sz w:val="18"/>
      </w:rPr>
      <w:t>10 月 31 日王德峰老师活动 · 联合运营合作方案（对外沟通版）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