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42C5E"/>
          <w:sz w:val="48"/>
        </w:rPr>
        <w:t>元谷项目联合运营合资公司</w:t>
      </w:r>
      <w:r>
        <w:br/>
      </w:r>
      <w:r>
        <w:rPr>
          <w:rFonts w:ascii="微软雅黑" w:hAnsi="微软雅黑" w:eastAsia="微软雅黑"/>
          <w:b/>
          <w:color w:val="142C5E"/>
          <w:sz w:val="48"/>
        </w:rPr>
        <w:t>合 作 协 议(草案)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4"/>
        </w:rPr>
        <w:t>Joint Operation JV Cooperation Agreement (Draft)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sz w:val="24"/>
        </w:rPr>
        <w:t>项目名称:森马(上海)国际运营中心 元谷项目</w:t>
      </w:r>
      <w:r>
        <w:br/>
      </w:r>
      <w:r>
        <w:rPr>
          <w:rFonts w:ascii="微软雅黑" w:hAnsi="微软雅黑" w:eastAsia="微软雅黑"/>
          <w:b w:val="0"/>
          <w:sz w:val="24"/>
        </w:rPr>
        <w:t>协议版本:v1.0  ·  起草方:胡教授团队</w:t>
      </w:r>
      <w:r>
        <w:br/>
      </w:r>
      <w:r>
        <w:rPr>
          <w:rFonts w:ascii="微软雅黑" w:hAnsi="微软雅黑" w:eastAsia="微软雅黑"/>
          <w:b w:val="0"/>
          <w:sz w:val="24"/>
        </w:rPr>
        <w:t>签署日期:__________ 年 ____ 月 ____ 日</w:t>
      </w:r>
      <w:r>
        <w:br/>
      </w:r>
    </w:p>
    <w:p>
      <w:pPr>
        <w:spacing w:before="1200"/>
        <w:jc w:val="center"/>
      </w:pPr>
      <w:r>
        <w:rPr>
          <w:rFonts w:ascii="微软雅黑" w:hAnsi="微软雅黑" w:eastAsia="微软雅黑"/>
          <w:b w:val="0"/>
          <w:color w:val="993333"/>
          <w:sz w:val="20"/>
        </w:rPr>
        <w:t>本协议为商务谈判草案,不构成法律约束力,最终以三方法务确认并签署的正式文本为准。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缔约方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甲方(资产方/业主方):森马集团股份有限公司(以下简称"森马")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    住所地:__________ ; 统一社会信用代码:__________ ; 法定代表人:__________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乙方(属地资源方/共同发起方):__________ (以下简称"危总团队",以危总实际控制的主体为准)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    住所地:__________ ; 统一社会信用代码:__________ ; 法定代表人:__________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丙方(运营资源方/主导运营方):__________ (以下简称"胡教授团队",由胡教授作为创始合伙人)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 xml:space="preserve">    住所地:__________ ; 统一社会信用代码:__________ ; 法定代表人:胡教授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鉴于: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(1)　甲方为元谷项目(位于上海市闵行区元江路-剑川路地区中心,"大零号湾"文创融合核心区,总建面约 22 万㎡,商业建面约 5.2 万㎡)的资产持有方与品牌方;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(2)　丙方在国际化运营、产业招商、政府关系、文创活动 IP(包括但不限于"北欧创新国际会客厅"、福布斯系列奖项、"科技开放麦"、AI 腾讯生态、仲量联行爬楼大数据、追觅科技基金)等方面拥有可持续投入的稀缺资源;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(3)　乙方在大零号湾及闵行属地拥有政府关系、央企对接与产业资源;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(4)　三方一致同意按"基金 + 基地 + 活动"模式共同设立合资公司,由该合资公司作为元谷项目的独家招商运营主体。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经友好协商,三方就合资公司之设立及合作事宜达成如下协议: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第一条　合资公司之设立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1.1　公司名称(拟定):上海元谷招商运营管理有限公司(最终以登记机关核准为准)。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1.2　注册地:上海市闵行区(建议落地于元谷项目内)。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1.3　注册资本:人民币 ____ 万元,分期实缴,首期 30% 在公司设立后 30 个工作日内完成。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1.4　出资及股权比例(建议方案,最终以三方书面确认为准):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甲方(森马):51%;以现金 + 招商运营独家授权(含元谷项目商业 5.2 万㎡ 5 年内招商主导权)作价出资。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乙方(危总团队):19%;以现金 + 属地政府与央企资源作价出资。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丙方(胡教授团队):30%(含 5% 期权池);以现金 + 资源出资(资源出资清单详见附件一)。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1.5　经营期限:自公司成立之日起 10 年;期限届满前 12 个月由三方协商续期事宜。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第二条　合资公司业务范围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2.1　元谷项目商业 5.2 万㎡ 的招商策划、招商执行、租户管理与续约。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2.2　元谷项目共享配套业态的直营运营,包括但不限于: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IP 潮玩选品 &amp; 仓储式零售中心(约 5,000㎡);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动漫潮玩谷主题街区(约 3,000㎡);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潮玩艺术中心(约 2,000㎡);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动漫主题书店(约 1,500㎡);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森马展厅 &amp; 二次元 Livehouse(约 700㎡)。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2.3　"北欧创新国际会客厅"元谷站之运营(设于 4# 楼 1-3F 潮玩艺术中心 + 4F 直播中心)。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2.4　园区品牌活动 IP 的策划与运营,包括"科技开放麦"系列、"全国潮玩设计大赛"、福布斯榜单元谷专场等。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2.5　产业牌照(包括但不限于"AI 潮玩产业基地"、"潮玩次元商业专委会")的申报、挂牌与维护。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2.6　招商投资基金(与追觅科技基金等)合作的"返投落地"工作; AI 腾讯生态导流; 仲量联行爬楼大数据接入。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2.7　三方一致同意:在合资公司经营期内,甲方就元谷项目商业部分的招商运营,授予合资公司独家、不可撤销的运营权;甲方不得将相同业务交由第三方运营机构。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第三条　治理结构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3.1　董事会:3 名董事,甲方委派 2 名(含董事长 1 名),乙方与丙方各委派 1 名(其中丙方董事由胡教授本人或其指定人担任)。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3.2　首席战略运营官(CSO):由丙方指定胡教授担任,全面负责合资公司日常运营; CSO 任期不少于 5 年,非因法定解除事由不得撤换。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3.3　管理层任命:总经理由 CSO 提名,董事会过半数通过;财务负责人由甲方提名。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3.4　重大事项三方一致同意(保护性条款):包括但不限于注册资本变更、新增股东、对外担保、单笔超过 ____ 万元的资本性支出、年度预算审批、章程修订、合并/分立/清算/解散。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第四条　运营服务费(月费 Retainer)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4.1　甲方同意:自合资公司成立之日起,按月向合资公司支付运营服务费("月费")。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4.2　月费金额:人民币 ____ 万元/月(建议区间 30-50 万元/月,正式签署前以三方书面确认为准)。详见附件二《合作收益测算模型》。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4.3　支付节奏:每自然月 5 日前预付当月月费;逾期支付的,每逾期一日按当月月费的 0.05% 计违约金。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4.4　调整机制:经三方一致书面同意,每 12 个月可对月费金额进行一次评审与调整;调整范围以同期 CPI ± 8% 为参考区间。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4.5　胡教授团队保证:以月费支付的服务范围至少包括(详见附件一):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胡教授作为 CSO 每周不少于 2 个工作日投入;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1 名产业招商经理 + 1 名国际合作及活动策划 + 1 名基金投后及政府关系,全职驻场;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仲量联行爬楼大数据接入与运维;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北欧创新国际会客厅外事接待与 IP 引入;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AI 腾讯生态对接与共享设计中心运营。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第五条　招商佣金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5.1　甲方同意:合资公司每促成一份新签或续签的元谷项目商业租赁合同(不含森马自用部分),按下列阶梯向合资公司支付招商佣金,胡教授团队按其股权比例享有相应分润: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≤ 2,000㎡ 的小型租户:佣金 = 实际成交年租金 × 1.0 个月;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2,001-5,000㎡ 的中型租户:佣金 = 实际成交年租金 × 1.5 个月;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&gt; 5,000㎡ 的头部/央企/行业协会租户:佣金 = 实际成交年租金 × 2.5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5.2　返投基金加成:凡通过追觅科技基金等合资公司导入的返投基金落地的租户,前述基础佣金额外加成 0.5 个月。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5.3　结算节奏:自租赁合同签订且租户起租之日起 30 日内一次性支付;合同中途解除的,按已履约期限对应比例处理。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5.4　归属保护:在合资公司向甲方提交的"招商客户名单"内的客户,自该客户首次接触起 24 个月内成交的,均视为合资公司业绩;甲方不得绕开合资公司签约。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第六条　专项奖项与挂牌激励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6.1　凡由合资公司或胡教授团队主导促成的下列事项,甲方应按下列标准向合资公司支付一次性激励,由合资公司按股比分配: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"AI 潮玩产业基地"牌照(中国动漫集团)正式挂牌:人民币 30 万元;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"潮玩次元商业专委会"牌照(中国百货商业协会)正式挂牌:人民币 30 万元;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上海"科技时尚特色小镇"市级或区级奖项落地:人民币 40 万元/项;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福布斯系列奖项/榜单 元谷专场发布或上榜:人民币 20 万元/项;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国家级科技/文创奖项(含国家文创基金、工信部专项等):人民币 30 万元/项。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6.2　若同一事项在多个口径下重复计奖,以最高一档为准,不重复计酬。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6.3　结算节奏:自挂牌或获奖正式公告之日起 30 日内由甲方一次性支付。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第七条　活动运营收入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7.1　合资公司主导策划与执行的园区活动(包括但不限于科技开放麦、北欧外事接待、全国潮玩设计大赛、AI 共享设计中心工作坊等),其单场净收入(赞助 + 票务 + 政府补贴 - 直接成本)由合资公司单独核算。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7.2　活动相关政府补贴、企业赞助、票务收入由合资公司统一收取并列入合资公司营收。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7.3　甲方有权获得活动现场森马品牌曝光的优先权,并配合活动联合传播。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第八条　三方资源投入与承诺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8.1　甲方承诺: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在合资公司成立后 90 日内向合资公司开放元谷项目商业部分的全部招商主导权;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向合资公司开放元谷项目共享配套业态的直营授权;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在森马集团及关联方资源范围内,为合资公司业务提供必要支持。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8.2　乙方承诺: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协助合资公司对接闵行区、大零号湾管委会等政府关系及央企资源;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协助申报"科技时尚特色小镇"等政策包及相关补贴。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8.3　丙方承诺(量化承诺,列入考核):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(a)　12 个月内挂牌"北欧创新国际会客厅"元谷站;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(b)　90 日内将仲量联行爬楼大数据接入合资公司中台;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(c)　12 个月内通过追觅科技基金完成首期返投落地不少于 3 家潮玩企业;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(d)　12 个月内挂牌不少于 2 项产业牌照或福布斯榜单;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 xml:space="preserve">      (e)　12 个月内举办不少于 10 场"科技开放麦"。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第九条　利润分配与亏损分担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9.1　合资公司的可分配利润("分红")按三方实际持股比例分配。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9.2　三方一致同意:在合资公司成立后的前 24 个月内,原则上将不少于 60% 的可分配利润留存于合资公司用于业务发展。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9.3　亏损按持股比例分担,但任何一方的责任不超过其实缴出资额。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第十条　团队招聘与人员管理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10.1　合资公司核心团队由 CSO 主导招聘,包括但不限于:产业招商经理、国际合作 &amp; 活动策划、基金投后 &amp; 政府关系,及行政/财务岗位。岗位说明详见附件三《核心团队 JD 与薪酬》。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10.2　核心员工的薪酬由合资公司负担,并由 CSO 报董事会备案。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10.3　合资公司可设立 5% 的员工持股计划(ESOP),由丙方持股部分中预留。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第十一条　知识产权与资源排他性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11.1　胡教授团队就以下资源在元谷项目场景内的使用,授予合资公司独家、可转授的使用权(在合资公司经营期内):北欧创新国际会客厅 IP、科技开放麦 IP、福布斯系列奖项渠道、AI 腾讯导入合作、仲量联行爬楼大数据接入、追觅科技基金合作。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11.2　上述资源的所有权仍归原权利人;合资公司经营期届满或本协议解除的,使用权同步解除。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11.3　合资公司对外发布及营销中应同步标注上述资源贡献方信息。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第十二条　排他与竞业禁止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12.1　合资公司经营期内,三方不得直接或间接从事与合资公司业务存在实质性竞争的活动;不得另行委托或受托从事元谷项目商业部分的招商运营。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12.2　甲方在大零号湾区域内的其他自有商业项目,需先以书面形式询价于合资公司,合资公司在 30 日内未明示接受的,甲方有权另行委托。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第十三条　退出机制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13.1　合资公司成立满 36 个月后,任何一方可发起股权转让;其他股东在同等条件下享有优先购买权。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13.2　若合资公司连续 12 个月未能完成关键 KPI(详见附件二),甲方有权回购丙方股权(回购价不低于丙方实缴出资额);丙方亦有权在该情形下要求乙方与甲方按比例回购。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13.3　本协议任一方严重违约,且经书面催告 30 日仍未纠正的,守约方有权解除本协议,并要求违约方按附件二所列损失予以赔偿。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第十四条　保密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14.1　三方就在本协议项下知悉的对方商业秘密、客户名单、技术信息、财务信息及未公开战略,承担保密义务,期限为本协议存续期间及解除/终止后 5 年。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第十五条　法律适用与争议解决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15.1　本协议适用中华人民共和国法律。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15.2　凡因本协议引起的争议,三方应首先友好协商解决;协商不成的,提交上海国际经济贸易仲裁委员会(上海国际仲裁中心)按其届时有效的仲裁规则在上海仲裁。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42C5E"/>
          <w:sz w:val="26"/>
        </w:rPr>
        <w:t>第十六条　一般条款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16.1　本协议自三方法定代表人或授权代表签字并加盖公章之日起生效。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16.2　本协议一式六份,三方各执两份,具有同等法律效力。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16.3　本协议附件与正文具有同等法律效力。</w:t>
      </w:r>
    </w:p>
    <w:p>
      <w:pPr>
        <w:spacing w:after="40"/>
        <w:ind w:left="400"/>
      </w:pPr>
      <w:r>
        <w:rPr>
          <w:rFonts w:ascii="微软雅黑" w:hAnsi="微软雅黑" w:eastAsia="微软雅黑"/>
          <w:b w:val="0"/>
          <w:sz w:val="22"/>
        </w:rPr>
        <w:t>16.4　本协议未尽事宜,由三方另行书面约定。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签 署 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甲方:森马集团股份有限公司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乙方:__________(危总团队)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法定代表人/授权代表:__________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　　　 日期:____ 年 ____ 月 ____ 日</w:t>
            </w:r>
          </w:p>
        </w:tc>
        <w:tc>
          <w:tcPr>
            <w:tcW w:type="dxa" w:w="4535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(盖章)　　　　　　 日期:____ 年 ____ 月 ____ 日</w:t>
            </w:r>
          </w:p>
        </w:tc>
      </w:tr>
      <w:tr>
        <w:tc>
          <w:tcPr>
            <w:tcW w:type="dxa" w:w="9070"/>
            <w:gridSpan w:val="2"/>
            <w:vAlign w:val="center"/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 w:val="0"/>
                <w:sz w:val="22"/>
              </w:rPr>
              <w:t>丙方:__________(胡教授团队)　　法定代表人/授权代表:__________　　(盖章)　　　　　　 日期:____ 年 ____ 月 ____ 日</w:t>
            </w:r>
          </w:p>
        </w:tc>
      </w:tr>
    </w:tbl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附件一:丙方资源出资清单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1. 北欧创新国际会客厅 IP &amp; 国际外事网络。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2. 福布斯系列奖项及榜单合作渠道。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3. 科技开放麦活动 IP(多季历史活动数据)。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4. AI 腾讯生态导流合作。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5. 仲量联行爬楼大数据(已实际投入采购成本人民币 26,000 元)。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6. 追觅科技基金"返投落地"招商合作通道。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7. 中国百货商业协会/中国动漫集团 两大产业牌照对接资源。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8. 胡教授个人品牌、学术 &amp; 行业网络(按附议详细 listing)。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附件二:合作收益测算模型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详见随附 Excel 文件 《合作收益测算模型.xlsx》(含月费、招商佣金、活动 + 奖项、股权分红、三年累计、敏感性分析共 7 个 Sheet)。基础场景下首年合资公司向胡教授团队结算金额合计约人民币 1,590 万元。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附件三:核心团队 JD 与薪酬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详见随附文档 《04_团队招聘/团队招聘计划.md》。包括 3 个全职岗位的岗位职责、任职要求、薪酬包以及 1 个共享行政岗位的设置建议。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附件四:关键 KPI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1. 首年招商成交面积 ≥ 12,000㎡。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2. 首年挂牌产业牌照 ≥ 2 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3. 首年举办品牌活动 ≥ 14 场(含 12 场科技开放麦 + 1 届潮玩大赛 + 1 场福布斯发布)。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4. 首年完成基金返投落地 ≥ 3 家潮玩企业。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5. 北欧创新国际会客厅元谷站 12 个月内挂牌运营。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