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6" w:color="C5A572" w:space="0"/>
          <w:left w:val="nil" w:space="0"/>
          <w:bottom w:val="single" w:sz="12" w:color="C5A572" w:space="0"/>
          <w:right w:val="nil" w:space="0"/>
          <w:insideH w:val="nil" w:space="0"/>
          <w:insideV w:val="nil" w:space="0"/>
        </w:tblBorders>
      </w:tblPr>
      <w:tblGrid>
        <w:gridCol w:w="5244"/>
        <w:gridCol w:w="5244"/>
      </w:tblGrid>
      <w:tr>
        <w:trPr>
          <w:cantSplit/>
        </w:trPr>
        <w:tc>
          <w:tcPr>
            <w:tcW w:type="dxa" w:w="7483"/>
            <w:shd w:fill="0B1F3A" w:val="clear"/>
            <w:tcBorders>
              <w:top w:val="single" w:sz="0" w:color="0B1F3A" w:space="0"/>
              <w:left w:val="single" w:sz="0" w:color="0B1F3A" w:space="0"/>
              <w:bottom w:val="single" w:sz="0" w:color="0B1F3A" w:space="0"/>
              <w:right w:val="single" w:sz="0" w:color="0B1F3A" w:space="0"/>
            </w:tcBorders>
            <w:vAlign w:val="center"/>
            <w:tcMar>
              <w:top w:w="50" w:type="dxa"/>
              <w:left w:w="100" w:type="dxa"/>
              <w:bottom w:w="50" w:type="dxa"/>
              <w:right w:w="50" w:type="dxa"/>
            </w:tcMar>
          </w:tcPr>
          <w:p>
            <w:pPr>
              <w:spacing w:after="0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胡继刚</w:t>
            </w:r>
            <w:r>
              <w:rPr>
                <w:rFonts w:ascii="微软雅黑" w:hAnsi="微软雅黑" w:eastAsia="微软雅黑"/>
                <w:b w:val="0"/>
                <w:color w:val="C5A572"/>
                <w:sz w:val="18"/>
              </w:rPr>
              <w:t xml:space="preserve">   HU JIGANG</w:t>
            </w:r>
          </w:p>
          <w:p>
            <w:pPr>
              <w:spacing w:before="20"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F3E6C8"/>
                <w:sz w:val="20"/>
              </w:rPr>
              <w:t>产业招商 · 城市更新 · 智能制造</w:t>
            </w:r>
            <w:r>
              <w:rPr>
                <w:rFonts w:ascii="微软雅黑" w:hAnsi="微软雅黑" w:eastAsia="微软雅黑"/>
                <w:b w:val="0"/>
                <w:color w:val="D5DEE8"/>
                <w:sz w:val="17"/>
              </w:rPr>
              <w:t xml:space="preserve">   副教授级高级工程师 · 复旦大学硕士研究生</w:t>
            </w:r>
          </w:p>
          <w:p>
            <w:pPr>
              <w:spacing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C5D0DC"/>
                <w:sz w:val="16"/>
              </w:rPr>
              <w:t>现任复旦大学住房政策研究中心秘书长　·　1987 年生 · 九三学社 · 上海 · IELTS 6.0</w:t>
            </w:r>
          </w:p>
          <w:p>
            <w:pPr>
              <w:spacing w:before="40"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C5A572"/>
                <w:sz w:val="17"/>
              </w:rPr>
              <w:t>求职方向  产业招商 / 城市更新 / 存量空间 / 国资平台  ·  上海</w:t>
            </w:r>
          </w:p>
        </w:tc>
        <w:tc>
          <w:tcPr>
            <w:tcW w:type="dxa" w:w="3005"/>
            <w:shd w:fill="0B1F3A" w:val="clear"/>
            <w:tcBorders>
              <w:top w:val="single" w:sz="0" w:color="0B1F3A" w:space="0"/>
              <w:left w:val="single" w:sz="0" w:color="0B1F3A" w:space="0"/>
              <w:bottom w:val="single" w:sz="0" w:color="0B1F3A" w:space="0"/>
              <w:right w:val="single" w:sz="0" w:color="0B1F3A" w:space="0"/>
            </w:tcBorders>
            <w:vAlign w:val="center"/>
            <w:tcMar>
              <w:top w:w="50" w:type="dxa"/>
              <w:left w:w="20" w:type="dxa"/>
              <w:bottom w:w="50" w:type="dxa"/>
              <w:right w:w="100" w:type="dxa"/>
            </w:tcMar>
          </w:tcPr>
          <w:p>
            <w:pPr>
              <w:spacing w:after="0"/>
              <w:jc w:val="right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18678408669</w:t>
            </w:r>
          </w:p>
          <w:p>
            <w:pPr>
              <w:spacing w:after="0"/>
              <w:jc w:val="righ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D9E2EC"/>
                <w:sz w:val="17"/>
              </w:rPr>
              <w:t>262782809@qq.com</w:t>
            </w:r>
          </w:p>
          <w:p>
            <w:pPr>
              <w:spacing w:after="0"/>
              <w:jc w:val="righ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D9E2EC"/>
                <w:sz w:val="17"/>
              </w:rPr>
              <w:t>微信 hu262782809</w:t>
            </w:r>
          </w:p>
        </w:tc>
      </w:tr>
    </w:tbl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22"/>
        <w:gridCol w:w="2622"/>
        <w:gridCol w:w="2622"/>
        <w:gridCol w:w="2622"/>
      </w:tblGrid>
      <w:tr>
        <w:trPr>
          <w:cantSplit/>
        </w:trPr>
        <w:tc>
          <w:tcPr>
            <w:tcW w:type="dxa" w:w="2665"/>
            <w:shd w:fill="F7F3EB" w:val="clear"/>
            <w:tcBorders>
              <w:top w:val="single" w:sz="16" w:color="C5A572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28" w:type="dxa"/>
              <w:left w:w="50" w:type="dxa"/>
              <w:bottom w:w="28" w:type="dxa"/>
              <w:right w:w="50" w:type="dxa"/>
            </w:tcMar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5E6A78"/>
                <w:sz w:val="16"/>
              </w:rPr>
              <w:t>2026 已签约产业合作</w:t>
            </w:r>
          </w:p>
          <w:p>
            <w:pPr>
              <w:spacing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28"/>
              </w:rPr>
              <w:t>4 项</w:t>
            </w:r>
          </w:p>
          <w:p>
            <w:pPr>
              <w:spacing w:before="20"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9A7B4F"/>
                <w:sz w:val="16"/>
              </w:rPr>
              <w:t>定位招商 · 委托协同</w:t>
            </w:r>
          </w:p>
        </w:tc>
        <w:tc>
          <w:tcPr>
            <w:tcW w:type="dxa" w:w="2665"/>
            <w:shd w:fill="F7F3EB" w:val="clear"/>
            <w:tcBorders>
              <w:top w:val="single" w:sz="16" w:color="C5A572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28" w:type="dxa"/>
              <w:left w:w="50" w:type="dxa"/>
              <w:bottom w:w="28" w:type="dxa"/>
              <w:right w:w="50" w:type="dxa"/>
            </w:tcMar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5E6A78"/>
                <w:sz w:val="16"/>
              </w:rPr>
              <w:t>一线投拓 2011–2021</w:t>
            </w:r>
          </w:p>
          <w:p>
            <w:pPr>
              <w:spacing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28"/>
              </w:rPr>
              <w:t>10 年</w:t>
            </w:r>
          </w:p>
          <w:p>
            <w:pPr>
              <w:spacing w:before="20"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9A7B4F"/>
                <w:sz w:val="16"/>
              </w:rPr>
              <w:t>中南 · 新城 · 万科</w:t>
            </w:r>
          </w:p>
        </w:tc>
        <w:tc>
          <w:tcPr>
            <w:tcW w:type="dxa" w:w="2665"/>
            <w:shd w:fill="F7F3EB" w:val="clear"/>
            <w:tcBorders>
              <w:top w:val="single" w:sz="16" w:color="C5A572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28" w:type="dxa"/>
              <w:left w:w="50" w:type="dxa"/>
              <w:bottom w:w="28" w:type="dxa"/>
              <w:right w:w="50" w:type="dxa"/>
            </w:tcMar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5E6A78"/>
                <w:sz w:val="16"/>
              </w:rPr>
              <w:t>靖江 + 金坛</w:t>
            </w:r>
          </w:p>
          <w:p>
            <w:pPr>
              <w:spacing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28"/>
              </w:rPr>
              <w:t>43 亿</w:t>
            </w:r>
          </w:p>
          <w:p>
            <w:pPr>
              <w:spacing w:before="20"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9A7B4F"/>
                <w:sz w:val="16"/>
              </w:rPr>
              <w:t>勾地 / 收并购代表作</w:t>
            </w:r>
          </w:p>
        </w:tc>
        <w:tc>
          <w:tcPr>
            <w:tcW w:type="dxa" w:w="2665"/>
            <w:shd w:fill="F7F3EB" w:val="clear"/>
            <w:tcBorders>
              <w:top w:val="single" w:sz="16" w:color="C5A572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28" w:type="dxa"/>
              <w:left w:w="50" w:type="dxa"/>
              <w:bottom w:w="28" w:type="dxa"/>
              <w:right w:w="50" w:type="dxa"/>
            </w:tcMar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5E6A78"/>
                <w:sz w:val="16"/>
              </w:rPr>
              <w:t>华为汽车两园区</w:t>
            </w:r>
          </w:p>
          <w:p>
            <w:pPr>
              <w:spacing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28"/>
              </w:rPr>
              <w:t>3.5 万㎡</w:t>
            </w:r>
          </w:p>
          <w:p>
            <w:pPr>
              <w:spacing w:before="20" w:after="0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9A7B4F"/>
                <w:sz w:val="16"/>
              </w:rPr>
              <w:t>辅助全流程落地</w:t>
            </w:r>
          </w:p>
        </w:tc>
      </w:tr>
    </w:tbl>
    <w:p>
      <w:pPr>
        <w:spacing w:before="100" w:after="20" w:line="278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9"/>
        </w:rPr>
        <w:t>2011–2021 年一线投拓，历任中南、新城、万科至上海区域投资副总经理。2021 年起任复旦大学住房政策研究中心秘书长，兼杨浦区科技企业联合会执行会长。2026 年已签约创智汇、东方枢纽、华为汽车两园区、森马产业园等产业合作，覆盖定位招商、联动对接与全流程落地辅助。一线投资只计至 2021 年。能够连接政府、高校、企业与空间载体，推动城市更新、产业导入和存量盘活。</w:t>
      </w:r>
    </w:p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现任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44"/>
        <w:gridCol w:w="5244"/>
      </w:tblGrid>
      <w:tr>
        <w:trPr>
          <w:cantSplit/>
        </w:trPr>
        <w:tc>
          <w:tcPr>
            <w:tcW w:type="dxa" w:w="8617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8" w:type="dxa"/>
              <w:right w:w="40" w:type="dxa"/>
            </w:tcMar>
          </w:tcPr>
          <w:p>
            <w:pPr>
              <w:spacing w:after="0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0B1F3A"/>
                <w:sz w:val="21"/>
              </w:rPr>
              <w:t>复旦大学住房政策研究中心</w:t>
            </w:r>
            <w:r>
              <w:rPr>
                <w:rFonts w:ascii="微软雅黑" w:hAnsi="微软雅黑" w:eastAsia="微软雅黑"/>
                <w:b w:val="0"/>
                <w:color w:val="5E6A78"/>
                <w:sz w:val="19"/>
              </w:rPr>
              <w:t xml:space="preserve">  ·  秘书长 · 上海</w:t>
            </w:r>
          </w:p>
        </w:tc>
        <w:tc>
          <w:tcPr>
            <w:tcW w:type="dxa" w:w="18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8" w:type="dxa"/>
              <w:right w:w="0" w:type="dxa"/>
            </w:tcMar>
          </w:tcPr>
          <w:p>
            <w:pPr>
              <w:spacing w:after="0"/>
              <w:jc w:val="right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9A7B4F"/>
                <w:sz w:val="19"/>
              </w:rPr>
              <w:t>2021.06 – 至今</w:t>
            </w:r>
          </w:p>
        </w:tc>
      </w:tr>
    </w:tbl>
    <w:p>
      <w:pPr>
        <w:spacing w:before="40" w:after="40" w:line="276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9A7B4F"/>
          <w:sz w:val="18"/>
        </w:rPr>
        <w:t>副教授级高级工程师为职称，不是本职务行政级别。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牵头住房保障、租赁与城市更新课题及产学研合作；兼杨浦区科技企业联合会执行会长。2026 年已签约四项产业合作，见下表。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2025.05「全球新经济增长引擎峰会」人民网、中新社报道：以秘书长身份作为主办方代表发言，并做房地产圆桌。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2026.03 北欧创新国际会客厅落户杨浦；区政府官网点名执行会长。宝龙商办为共同发起单位，不是任职。</w:t>
      </w:r>
    </w:p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2026 已签约产业合作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2041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0B1F3A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94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0B1F3A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5329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0B1F3A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创智汇</w:t>
            </w:r>
          </w:p>
        </w:tc>
        <w:tc>
          <w:tcPr>
            <w:tcW w:type="dxa" w:w="294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约 6600 ㎡</w:t>
            </w:r>
          </w:p>
        </w:tc>
        <w:tc>
          <w:tcPr>
            <w:tcW w:type="dxa" w:w="5329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负责人工智能与 IP 定位招商，辅助向智能制造、出海及人工智能转型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东方枢纽</w:t>
            </w:r>
          </w:p>
        </w:tc>
        <w:tc>
          <w:tcPr>
            <w:tcW w:type="dxa" w:w="294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约 143 万㎡</w:t>
            </w:r>
          </w:p>
        </w:tc>
        <w:tc>
          <w:tcPr>
            <w:tcW w:type="dxa" w:w="5329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推动与产业方对接，促成联动招商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华为汽车园区</w:t>
            </w:r>
          </w:p>
        </w:tc>
        <w:tc>
          <w:tcPr>
            <w:tcW w:type="dxa" w:w="294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静安 1.5 万㎡ + 浦东 2 万㎡</w:t>
            </w:r>
          </w:p>
        </w:tc>
        <w:tc>
          <w:tcPr>
            <w:tcW w:type="dxa" w:w="5329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辅助拿地、规划国土、定位至招商落地全流程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闵行森马产业园</w:t>
            </w:r>
          </w:p>
        </w:tc>
        <w:tc>
          <w:tcPr>
            <w:tcW w:type="dxa" w:w="294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约 2 万㎡</w:t>
            </w:r>
          </w:p>
        </w:tc>
        <w:tc>
          <w:tcPr>
            <w:tcW w:type="dxa" w:w="5329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工业空间定位与招商方案拟定</w:t>
            </w:r>
          </w:p>
        </w:tc>
      </w:tr>
    </w:tbl>
    <w:p>
      <w:pPr>
        <w:spacing w:before="60" w:after="40" w:line="276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5E6A78"/>
          <w:sz w:val="17"/>
        </w:rPr>
        <w:t>均为已签约合作，职责按合同。表内不列引进企业名单。</w:t>
      </w:r>
    </w:p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社会职务</w:t>
      </w:r>
    </w:p>
    <w:p>
      <w:pPr>
        <w:spacing w:before="20" w:after="40" w:line="269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上海市杨浦区科技企业联合会执行会长（区政府官网）　·　复旦大学不动产资产管理协会创始人　·　上海山东省商会理事　·　复旦研究生管理联考面试官</w:t>
      </w:r>
    </w:p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专业经历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44"/>
        <w:gridCol w:w="5244"/>
      </w:tblGrid>
      <w:tr>
        <w:trPr>
          <w:cantSplit/>
        </w:trPr>
        <w:tc>
          <w:tcPr>
            <w:tcW w:type="dxa" w:w="8617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8" w:type="dxa"/>
              <w:right w:w="40" w:type="dxa"/>
            </w:tcMar>
          </w:tcPr>
          <w:p>
            <w:pPr>
              <w:spacing w:after="0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0B1F3A"/>
                <w:sz w:val="21"/>
              </w:rPr>
              <w:t>万科企业股份有限公司 · 上海区域江浙事业部</w:t>
            </w:r>
            <w:r>
              <w:rPr>
                <w:rFonts w:ascii="微软雅黑" w:hAnsi="微软雅黑" w:eastAsia="微软雅黑"/>
                <w:b w:val="0"/>
                <w:color w:val="5E6A78"/>
                <w:sz w:val="19"/>
              </w:rPr>
              <w:t xml:space="preserve">  ·  投资副总经理</w:t>
            </w:r>
          </w:p>
        </w:tc>
        <w:tc>
          <w:tcPr>
            <w:tcW w:type="dxa" w:w="18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8" w:type="dxa"/>
              <w:right w:w="0" w:type="dxa"/>
            </w:tcMar>
          </w:tcPr>
          <w:p>
            <w:pPr>
              <w:spacing w:after="0"/>
              <w:jc w:val="right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9A7B4F"/>
                <w:sz w:val="19"/>
              </w:rPr>
              <w:t>2017.03 – 2021.06</w:t>
            </w:r>
          </w:p>
        </w:tc>
      </w:tr>
    </w:tbl>
    <w:p>
      <w:pPr>
        <w:spacing w:before="40" w:after="40" w:line="276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5E6A78"/>
          <w:sz w:val="18"/>
        </w:rPr>
        <w:t>上海 · 汇报投资合作开发部总经理 · 团队 8 人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深耕江浙未进入城市，负责策略勾地、收并购、债务重组与不良资产处置。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政府 / 国企合作：海宁代建 18.53 亿、约 23 万㎡；镇江大港与大港集团各半，约 199 亩 / 32 万方。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存量与轻资产：龙湖滟澜山法拍，测算 IRR 约 16.16%；靖江印象城勾地 + 印力委管，约 15 亿 / 556 亩 / 7 万方购物中心。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产业载体：主导获取并落地万纬平湖、奉贤南桥冷链园；金坛理想城约 28.05 亿 / 561 亩底价获取。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以收并购、策略勾地、不良处置等方式新增 4 宗土地，进入盐城、台州、常州金坛。</w:t>
      </w:r>
    </w:p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专业经历（续）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44"/>
        <w:gridCol w:w="5244"/>
      </w:tblGrid>
      <w:tr>
        <w:trPr>
          <w:cantSplit/>
        </w:trPr>
        <w:tc>
          <w:tcPr>
            <w:tcW w:type="dxa" w:w="8617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8" w:type="dxa"/>
              <w:right w:w="40" w:type="dxa"/>
            </w:tcMar>
          </w:tcPr>
          <w:p>
            <w:pPr>
              <w:spacing w:after="0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0B1F3A"/>
                <w:sz w:val="21"/>
              </w:rPr>
              <w:t>新城控股集团股份有限公司 · 总部战略投资中心</w:t>
            </w:r>
            <w:r>
              <w:rPr>
                <w:rFonts w:ascii="微软雅黑" w:hAnsi="微软雅黑" w:eastAsia="微软雅黑"/>
                <w:b w:val="0"/>
                <w:color w:val="5E6A78"/>
                <w:sz w:val="19"/>
              </w:rPr>
              <w:t xml:space="preserve">  ·  资深专业经理 · 上海</w:t>
            </w:r>
          </w:p>
        </w:tc>
        <w:tc>
          <w:tcPr>
            <w:tcW w:type="dxa" w:w="18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8" w:type="dxa"/>
              <w:right w:w="0" w:type="dxa"/>
            </w:tcMar>
          </w:tcPr>
          <w:p>
            <w:pPr>
              <w:spacing w:after="0"/>
              <w:jc w:val="right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9A7B4F"/>
                <w:sz w:val="19"/>
              </w:rPr>
              <w:t>2015.11 – 2017.02</w:t>
            </w:r>
          </w:p>
        </w:tc>
      </w:tr>
    </w:tbl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负责山东、江苏等区域战略布局与土地获取。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临沂吾悦：对接市级重点招商引资政策，推动商业综合体落地，系集团首进山东的重资产项目。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青岛吾悦：轻资产品牌输出 + 委管，约 13.68 万㎡。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44"/>
        <w:gridCol w:w="5244"/>
      </w:tblGrid>
      <w:tr>
        <w:trPr>
          <w:cantSplit/>
        </w:trPr>
        <w:tc>
          <w:tcPr>
            <w:tcW w:type="dxa" w:w="8617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8" w:type="dxa"/>
              <w:right w:w="40" w:type="dxa"/>
            </w:tcMar>
          </w:tcPr>
          <w:p>
            <w:pPr>
              <w:spacing w:after="0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0B1F3A"/>
                <w:sz w:val="21"/>
              </w:rPr>
              <w:t>中南建设集团股份有限公司 · 总部新项目发展中心</w:t>
            </w:r>
            <w:r>
              <w:rPr>
                <w:rFonts w:ascii="微软雅黑" w:hAnsi="微软雅黑" w:eastAsia="微软雅黑"/>
                <w:b w:val="0"/>
                <w:color w:val="5E6A78"/>
                <w:sz w:val="19"/>
              </w:rPr>
              <w:t xml:space="preserve">  ·  投资拓展高级经理 · 上海 / 南通</w:t>
            </w:r>
          </w:p>
        </w:tc>
        <w:tc>
          <w:tcPr>
            <w:tcW w:type="dxa" w:w="18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8" w:type="dxa"/>
              <w:right w:w="0" w:type="dxa"/>
            </w:tcMar>
          </w:tcPr>
          <w:p>
            <w:pPr>
              <w:spacing w:after="0"/>
              <w:jc w:val="right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9A7B4F"/>
                <w:sz w:val="19"/>
              </w:rPr>
              <w:t>2011.06 – 2015.10</w:t>
            </w:r>
          </w:p>
        </w:tc>
      </w:tr>
    </w:tbl>
    <w:p>
      <w:pPr>
        <w:spacing w:before="40" w:after="40" w:line="276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5E6A78"/>
          <w:sz w:val="18"/>
        </w:rPr>
        <w:t>2011.06–2012.10 总裁办战略企划；其后新项目发展中心。从集团战略到项目投资的完整历练。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获取如皋中南世纪城、苏州中南锦苑；江阴白鹭湾与碧桂园同股同权合作。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推进美国养老、日本永旺等国际合作对接（推进中，非已签约）。2014 年底派驻四川任西南拓展负责人。</w:t>
      </w:r>
    </w:p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社会职务（工作要点）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杨浦科企联：主持日常运作，策划科创项目评审、投融资对接与政策宣讲。2026.03 区政府官网点名执行会长，参与北欧创新国际会客厅落户杨浦宝龙旭辉广场环创中心。</w:t>
      </w:r>
    </w:p>
    <w:p>
      <w:pPr>
        <w:spacing w:before="0" w:after="16" w:line="259" w:lineRule="auto"/>
        <w:ind w:left="159" w:hanging="159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●  复旦不动产资管协会：2018 年起创立面向校友的资管交流平台，组织行业分享、项目考察与资源对接。</w:t>
      </w:r>
    </w:p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代表项目</w:t>
      </w:r>
    </w:p>
    <w:p>
      <w:pPr>
        <w:spacing w:before="20" w:after="60" w:line="276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5E6A78"/>
          <w:sz w:val="17"/>
        </w:rPr>
        <w:t>金额与面积证明投资判断与政府 / 国企协同；引进企业、签约入驻需另补经营台账。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22"/>
        <w:gridCol w:w="2622"/>
        <w:gridCol w:w="2622"/>
        <w:gridCol w:w="2622"/>
      </w:tblGrid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0B1F3A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0B1F3A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0B1F3A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0B1F3A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方式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靖江印象城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主导获取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15 亿 / 556 亩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勾地 + 轻资产委管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嘉兴海宁商住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主导拓展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18.53 亿 / 23 万㎡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政府代建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金坛理想城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主导获取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28.05 亿 / 561 亩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收并购 + 债务重组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镇江大港金域蓝湾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主导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199 亩 / 32 万方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收并购 + 国企各半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龙湖滟澜山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主导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IRR ≈ 16.16%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法拍不良资产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南桥 / 平湖冷链园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主导落地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—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产业勾地 / 收购改造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临沂吾悦广场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主导勾地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—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市级招商政策协同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/>
                <w:color w:val="0B1F3A"/>
                <w:sz w:val="17"/>
              </w:rPr>
              <w:t>青岛吾悦广场</w:t>
            </w:r>
          </w:p>
        </w:tc>
        <w:tc>
          <w:tcPr>
            <w:tcW w:type="dxa" w:w="1474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获取</w:t>
            </w:r>
          </w:p>
        </w:tc>
        <w:tc>
          <w:tcPr>
            <w:tcW w:type="dxa" w:w="2608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13.68 万㎡</w:t>
            </w:r>
          </w:p>
        </w:tc>
        <w:tc>
          <w:tcPr>
            <w:tcW w:type="dxa" w:w="3742"/>
            <w:tcBorders>
              <w:top w:val="single" w:sz="4" w:color="E6DCCB" w:space="0"/>
              <w:left w:val="single" w:sz="4" w:color="E6DCCB" w:space="0"/>
              <w:bottom w:val="single" w:sz="4" w:color="E6DCCB" w:space="0"/>
              <w:right w:val="single" w:sz="4" w:color="E6DCCB" w:space="0"/>
            </w:tcBorders>
            <w:tcMar>
              <w:top w:w="18" w:type="dxa"/>
              <w:left w:w="40" w:type="dxa"/>
              <w:bottom w:w="18" w:type="dxa"/>
              <w:right w:w="40" w:type="dxa"/>
            </w:tcMar>
            <w:vAlign w:val="center"/>
            <w:shd w:fill="F7F3EB" w:val="clear"/>
          </w:tcPr>
          <w:p>
            <w:pPr>
              <w:autoSpaceDE w:val="0"/>
              <w:autoSpaceDN w:val="0"/>
              <w:adjustRightInd w:val="0"/>
            </w:pPr>
            <w:r/>
          </w:p>
          <w:p>
            <w:pPr>
              <w:spacing w:before="0" w:after="0" w:line="259" w:lineRule="auto"/>
              <w:jc w:val="left"/>
              <w:autoSpaceDE w:val="0"/>
              <w:autoSpaceDN w:val="0"/>
              <w:adjustRightInd w:val="0"/>
            </w:pPr>
            <w:r>
              <w:rPr>
                <w:rFonts w:ascii="微软雅黑" w:hAnsi="微软雅黑" w:eastAsia="微软雅黑"/>
                <w:b w:val="0"/>
                <w:color w:val="243040"/>
                <w:sz w:val="17"/>
              </w:rPr>
              <w:t>轻资产输出 + 委管</w:t>
            </w:r>
          </w:p>
        </w:tc>
      </w:tr>
    </w:tbl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教育背景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44"/>
        <w:gridCol w:w="5244"/>
      </w:tblGrid>
      <w:tr>
        <w:trPr>
          <w:cantSplit/>
        </w:trPr>
        <w:tc>
          <w:tcPr>
            <w:tcW w:type="dxa" w:w="8617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8" w:type="dxa"/>
              <w:right w:w="40" w:type="dxa"/>
            </w:tcMar>
          </w:tcPr>
          <w:p>
            <w:pPr>
              <w:spacing w:after="0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0B1F3A"/>
                <w:sz w:val="21"/>
              </w:rPr>
              <w:t>复旦大学</w:t>
            </w:r>
            <w:r>
              <w:rPr>
                <w:rFonts w:ascii="微软雅黑" w:hAnsi="微软雅黑" w:eastAsia="微软雅黑"/>
                <w:b w:val="0"/>
                <w:color w:val="5E6A78"/>
                <w:sz w:val="19"/>
              </w:rPr>
              <w:t xml:space="preserve">  ·  工商管理硕士 · 财务金融方向</w:t>
            </w:r>
          </w:p>
        </w:tc>
        <w:tc>
          <w:tcPr>
            <w:tcW w:type="dxa" w:w="18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8" w:type="dxa"/>
              <w:right w:w="0" w:type="dxa"/>
            </w:tcMar>
          </w:tcPr>
          <w:p>
            <w:pPr>
              <w:spacing w:after="0"/>
              <w:jc w:val="right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9A7B4F"/>
                <w:sz w:val="19"/>
              </w:rPr>
              <w:t>2018.09 – 2021.06</w:t>
            </w:r>
          </w:p>
        </w:tc>
      </w:tr>
    </w:tbl>
    <w:p>
      <w:pPr>
        <w:spacing w:before="20" w:after="80" w:line="276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5E6A78"/>
          <w:sz w:val="18"/>
        </w:rPr>
        <w:t>在职攻读，与万科上海区域任职并行。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44"/>
        <w:gridCol w:w="5244"/>
      </w:tblGrid>
      <w:tr>
        <w:trPr>
          <w:cantSplit/>
        </w:trPr>
        <w:tc>
          <w:tcPr>
            <w:tcW w:type="dxa" w:w="8617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0" w:type="dxa"/>
              <w:bottom w:w="8" w:type="dxa"/>
              <w:right w:w="40" w:type="dxa"/>
            </w:tcMar>
          </w:tcPr>
          <w:p>
            <w:pPr>
              <w:spacing w:after="0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0B1F3A"/>
                <w:sz w:val="21"/>
              </w:rPr>
              <w:t>中国海洋大学</w:t>
            </w:r>
            <w:r>
              <w:rPr>
                <w:rFonts w:ascii="微软雅黑" w:hAnsi="微软雅黑" w:eastAsia="微软雅黑"/>
                <w:b w:val="0"/>
                <w:color w:val="5E6A78"/>
                <w:sz w:val="19"/>
              </w:rPr>
              <w:t xml:space="preserve">  ·  土木工程学士</w:t>
            </w:r>
          </w:p>
        </w:tc>
        <w:tc>
          <w:tcPr>
            <w:tcW w:type="dxa" w:w="18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20" w:type="dxa"/>
              <w:left w:w="40" w:type="dxa"/>
              <w:bottom w:w="8" w:type="dxa"/>
              <w:right w:w="0" w:type="dxa"/>
            </w:tcMar>
          </w:tcPr>
          <w:p>
            <w:pPr>
              <w:spacing w:after="0"/>
              <w:jc w:val="right"/>
              <w:autoSpaceDE w:val="0"/>
              <w:autoSpaceDN w:val="0"/>
              <w:adjustRightInd w:val="0"/>
            </w:pPr>
            <w:r/>
            <w:r>
              <w:rPr>
                <w:rFonts w:ascii="微软雅黑" w:hAnsi="微软雅黑" w:eastAsia="微软雅黑"/>
                <w:b/>
                <w:color w:val="9A7B4F"/>
                <w:sz w:val="19"/>
              </w:rPr>
              <w:t>2007.09 – 2011.07</w:t>
            </w:r>
          </w:p>
        </w:tc>
      </w:tr>
    </w:tbl>
    <w:p>
      <w:pPr>
        <w:spacing w:before="80" w:after="20" w:line="276" w:lineRule="auto"/>
        <w:pBdr>
          <w:left w:val="single" w:sz="18" w:space="4" w:color="C5A572"/>
          <w:bottom w:val="single" w:sz="6" w:space="1" w:color="E6DCCB"/>
        </w:pBdr>
        <w:autoSpaceDE w:val="0"/>
        <w:autoSpaceDN w:val="0"/>
        <w:adjustRightInd w:val="0"/>
      </w:pPr>
      <w:r>
        <w:rPr>
          <w:rFonts w:ascii="微软雅黑" w:hAnsi="微软雅黑" w:eastAsia="微软雅黑"/>
          <w:b/>
          <w:color w:val="0B1F3A"/>
          <w:sz w:val="22"/>
        </w:rPr>
        <w:t>资质与研究</w:t>
      </w:r>
    </w:p>
    <w:p>
      <w:pPr>
        <w:spacing w:before="20" w:after="20" w:line="269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职称与证书：副教授级高级工程师；会计师中级；PMP；住建委项目管理工程师；IELTS 6.0；普通话一级甲等；BIM；上海市人才引进认证资质。</w:t>
      </w:r>
    </w:p>
    <w:p>
      <w:pPr>
        <w:spacing w:before="0" w:after="20" w:line="269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243040"/>
          <w:sz w:val="18"/>
        </w:rPr>
        <w:t>论文、专利与研修：《万科物流地产平台业务发展战略研究》（知网）；《房屋建筑工程人工智能技术的应用》（《住宅与房地产》）。实用新型专利 2 项（功能脚架、防护围栏）；交大城市治理数字化转型高研班。</w:t>
      </w:r>
    </w:p>
    <w:p>
      <w:pPr>
        <w:spacing w:before="80" w:after="0" w:line="276" w:lineRule="auto"/>
        <w:autoSpaceDE w:val="0"/>
        <w:autoSpaceDN w:val="0"/>
        <w:adjustRightInd w:val="0"/>
      </w:pPr>
      <w:r>
        <w:rPr>
          <w:rFonts w:ascii="微软雅黑" w:hAnsi="微软雅黑" w:eastAsia="微软雅黑"/>
          <w:b w:val="0"/>
          <w:color w:val="0B1F3A"/>
          <w:sz w:val="18"/>
        </w:rPr>
        <w:t>专业方向：产业招商　定位招商　智能制造　城市更新　存量空间　国资合作　轻资产委管　产业园区　政企协同　企业出海　住房保障　募投管退</w:t>
      </w:r>
    </w:p>
    <w:sectPr w:rsidR="00FC693F" w:rsidRPr="0006063C" w:rsidSect="00034616">
      <w:footerReference w:type="default" r:id="rId9"/>
      <w:pgSz w:w="11906" w:h="16838"/>
      <w:pgMar w:top="0" w:right="709" w:bottom="567" w:left="709" w:header="0" w:footer="227" w:gutter="0"/>
      <w:cols w:space="720"/>
      <w:docGrid w:linePitch="24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left"/>
      <w:pBdr>
        <w:top w:val="single" w:sz="6" w:space="4" w:color="E6DCCB"/>
      </w:pBdr>
    </w:pPr>
    <w:r>
      <w:rPr>
        <w:rFonts w:ascii="微软雅黑" w:hAnsi="微软雅黑" w:eastAsia="微软雅黑"/>
        <w:b w:val="0"/>
        <w:color w:val="5E6A78"/>
        <w:sz w:val="16"/>
      </w:rPr>
      <w:t>产业招商 · 城市更新 · 智能制造</w:t>
    </w:r>
    <w:r>
      <w:rPr>
        <w:rFonts w:ascii="微软雅黑" w:hAnsi="微软雅黑" w:eastAsia="微软雅黑"/>
        <w:b w:val="0"/>
        <w:color w:val="5E6A78"/>
        <w:sz w:val="16"/>
      </w:rPr>
      <w:t xml:space="preserve">　　胡继刚  ·  </w:t>
    </w:r>
    <w:r>
      <w:rPr>
        <w:rFonts w:ascii="微软雅黑" w:hAnsi="微软雅黑" w:eastAsia="微软雅黑"/>
        <w:b w:val="0"/>
        <w:color w:val="5E6A78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5E6A78"/>
        <w:sz w:val="16"/>
      </w:rPr>
      <w:t xml:space="preserve"> / </w:t>
    </w:r>
    <w:r>
      <w:rPr>
        <w:rFonts w:ascii="微软雅黑" w:hAnsi="微软雅黑" w:eastAsia="微软雅黑"/>
        <w:b w:val="0"/>
        <w:color w:val="5E6A78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