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WenQuanYi Micro Hei"/>
          <w:b/>
          <w:sz w:val="40"/>
        </w:rPr>
        <w:t>01# 研发楼 · 业态政策路径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董事会简版 · 2026-09-03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政府公关为主 · 招商为辅 · 不承诺 C6 可直接做酒店</w:t>
      </w:r>
    </w:p>
    <w:p>
      <w:r>
        <w:rPr>
          <w:rFonts w:ascii="Calibri" w:hAnsi="Calibri" w:eastAsia="WenQuanYi Micro Hei"/>
          <w:b w:val="0"/>
          <w:sz w:val="22"/>
        </w:rPr>
      </w:r>
    </w:p>
    <w:p>
      <w:r>
        <w:rPr>
          <w:rFonts w:ascii="Calibri" w:hAnsi="Calibri" w:eastAsia="WenQuanYi Micro Hei"/>
          <w:b/>
          <w:sz w:val="22"/>
        </w:rPr>
        <w:t>依据 2026 年 9 月 2 日沟通：董事长不信纯写字楼空置，倾向公寓 / 酒店；9 月 30 日必须进场施工。本文件把「能不能做」拆成可问政府的路径，供董事会表决。不是招商承诺书，也不是已经获批的业态许可。</w:t>
      </w:r>
    </w:p>
    <w:p>
      <w:r>
        <w:rPr>
          <w:rFonts w:ascii="Calibri" w:hAnsi="Calibri" w:eastAsia="WenQuanYi Micro Hei"/>
          <w:b/>
          <w:color w:val="0F2D52"/>
          <w:sz w:val="28"/>
        </w:rPr>
        <w:t>一、标的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地块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永和社区 N070601 单元 075b-07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建筑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01# 新建研发楼 · 地上 15,152.75 ㎡ · 9F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用地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C6 教育科研设计用地（工业属性，亩产税收要求最高的一类）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节点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2026-09-30 最晚进场施工，逾期按总造价滞纳金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待甲方提供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土地证用途全文、出让合同备注、产业准入与开竣工条款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二、四条红线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C6 直接做市场化酒店 / 公寓不合规。可以说帮你问，不能说能做。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改用地性质几乎必然补地价。会上量级：商业大约是工业的 10 倍。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规划批准不等于消防和营业能开。杨浦亚朵四号楼（会上口述）保证金搁置。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9 月 30 日按已批研发楼进场。不要为等酒店批文误了滞纳金。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静安明文严禁违规把商务楼宇调整为住宅使用。「一人公司商住两用」若滑向住宅分割，会先撞这条。</w:t>
      </w:r>
    </w:p>
    <w:p>
      <w:r>
        <w:rPr>
          <w:rFonts w:ascii="Calibri" w:hAnsi="Calibri" w:eastAsia="WenQuanYi Micro Hei"/>
          <w:b/>
          <w:color w:val="0F2D52"/>
          <w:sz w:val="28"/>
        </w:rPr>
        <w:t>三、三条路径（请表决主攻哪一条）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路径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做什么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董事会含义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A 绿 · 保底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维持 C6，研发为主，只做合规小型配套；「能住」只问人才公寓是否允许作科研配套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合法、不补大额地价、不误 9/30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B 黄 · 建议主攻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纳入园区更新 / 功能复合评估；用纳税大户身份 + 复旦住房政策研究中心第三方去问政府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90 天政府公关的主战场。结果更可能是少量配套，不是整栋酒店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C 红 · 只做账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改商业补地价、政府收储再出让、R 类擦边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可以算经济账，不能当成明年开业的产品</w:t>
            </w:r>
          </w:p>
        </w:tc>
      </w:tr>
    </w:tbl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静更新办〔2025〕5 号第 5 条允许存量商务楼宇兼容酒店、人才公寓；01# 是 C6 新建研发楼，默认不在该条。第 7 条「园区混合利用」才是更贴的门。市规土 449 号：M0 只让工业 / 研发 / 仓储互转；R0 居住融合只叠在商办用地上。</w:t>
      </w:r>
    </w:p>
    <w:p>
      <w:r>
        <w:rPr>
          <w:rFonts w:ascii="Calibri" w:hAnsi="Calibri" w:eastAsia="WenQuanYi Micro Hei"/>
          <w:b/>
          <w:color w:val="0F2D52"/>
          <w:sz w:val="28"/>
        </w:rPr>
        <w:t>四、静安本地对照（一句话）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走马塘 / 信谊药厂：成功的是工业升级成研发，并补地价——方向与「改酒店」相反。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塘南村北块：人才公寓出现在政府收储、带方案再出让里，不是业主在原地块自改。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没有检索到「静安某栋 C6 整栋改酒店已批」的公开案例。不编。</w:t>
      </w:r>
    </w:p>
    <w:p>
      <w:r>
        <w:rPr>
          <w:rFonts w:ascii="Calibri" w:hAnsi="Calibri" w:eastAsia="WenQuanYi Micro Hei"/>
          <w:b/>
          <w:color w:val="0F2D52"/>
          <w:sz w:val="28"/>
        </w:rPr>
        <w:t>五、头 90 天交付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时段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必须交出来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D1–15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土地证与合同研判；四条红线一页纸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D16–45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街道 + 区规资 / 更新办至少一轮预沟通纪要（甲方出面）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D46–90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《01# 业态路径备忘录》定稿：能做 / 不能做 / 补地价量级 / 对 9/30 的影响</w:t>
            </w:r>
          </w:p>
        </w:tc>
      </w:tr>
    </w:tbl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招商在这 90 天备着：可建研发类备选库，路径 A 确认后再带看。无委托协议不开展代看。公寓品牌可接触，没有土地路径不签约。不承诺指定企业入驻，不承诺政府一定批准。</w:t>
      </w:r>
    </w:p>
    <w:p>
      <w:r>
        <w:rPr>
          <w:rFonts w:ascii="Calibri" w:hAnsi="Calibri" w:eastAsia="WenQuanYi Micro Hei"/>
          <w:b/>
          <w:color w:val="0F2D52"/>
          <w:sz w:val="28"/>
        </w:rPr>
        <w:t>六、收费（9 月 2 日已对齐）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启动金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15 万元，覆盖头 90 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之后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月度 8 万元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散户佣金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首年租金 8%（有生效租赁才收）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整层 / 大客户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首年租金 12%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启动金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成交后抵扣佣金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孵化器品牌授权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另计，不包在 15 万内</w:t>
            </w:r>
          </w:p>
        </w:tc>
      </w:tr>
    </w:tbl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话术：常规中介约 2 个月租金（约年租金 16%），我方大约一半。</w:t>
      </w:r>
    </w:p>
    <w:p>
      <w:r>
        <w:rPr>
          <w:rFonts w:ascii="Calibri" w:hAnsi="Calibri" w:eastAsia="WenQuanYi Micro Hei"/>
          <w:b/>
          <w:color w:val="0F2D52"/>
          <w:sz w:val="28"/>
        </w:rPr>
        <w:t>七、请董事会勾选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确认 9 月 30 日按已批研发楼进场，业态路径不绑死开竣工。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同意 90 天主攻路径 B，路径 A 作保底，路径 C 只做账。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3 个工作日内提供土地证和出让合同用途全文。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是否授权复旦住房政策研究中心作为第三方出现在预沟通：是 / 否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是否需要国家级孵化器品牌（另收费）：是 / 否</w:t>
      </w:r>
    </w:p>
    <w:p>
      <w:r>
        <w:rPr>
          <w:rFonts w:ascii="Calibri" w:hAnsi="Calibri" w:eastAsia="WenQuanYi Micro Hei"/>
          <w:b w:val="0"/>
          <w:sz w:val="22"/>
        </w:rPr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详细政策来源与案例距离见《静安研发用地业态调整 · 政策窗口与案例》。本简版用于内部汇报，不替代规划、土地、消防行政许可。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