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before="0"/>
        <w:jc w:val="center"/>
      </w:pPr>
      <w:r>
        <w:rPr>
          <w:rFonts w:ascii="微软雅黑" w:hAnsi="微软雅黑" w:eastAsia="微软雅黑"/>
          <w:b/>
          <w:color w:val="1A6B6B"/>
          <w:sz w:val="28"/>
        </w:rPr>
        <w:t>考察交流策划案</w:t>
      </w:r>
    </w:p>
    <w:p>
      <w:pPr>
        <w:spacing w:after="240" w:before="0"/>
        <w:jc w:val="center"/>
      </w:pPr>
      <w:r>
        <w:rPr>
          <w:rFonts w:ascii="微软雅黑" w:hAnsi="微软雅黑" w:eastAsia="微软雅黑"/>
          <w:b/>
          <w:color w:val="0B3D5C"/>
          <w:sz w:val="44"/>
        </w:rPr>
        <w:t>赴宁波港及宁波经济技术开发区考察交流策划案</w:t>
      </w:r>
    </w:p>
    <w:p>
      <w:pPr>
        <w:spacing w:after="560" w:before="0"/>
        <w:jc w:val="center"/>
      </w:pPr>
      <w:r>
        <w:rPr>
          <w:rFonts w:ascii="微软雅黑" w:hAnsi="微软雅黑" w:eastAsia="微软雅黑"/>
          <w:b w:val="0"/>
          <w:color w:val="5A636E"/>
          <w:sz w:val="26"/>
        </w:rPr>
        <w:t>招商引资 · 科技孵化 · 产业导入 · PE/VC · CVC 投洽合作</w:t>
      </w:r>
    </w:p>
    <w:p>
      <w:pPr>
        <w:spacing w:after="800" w:before="0"/>
        <w:jc w:val="center"/>
      </w:pPr>
      <w:r>
        <w:rPr>
          <w:rFonts w:ascii="微软雅黑" w:hAnsi="微软雅黑" w:eastAsia="微软雅黑"/>
          <w:b w:val="0"/>
          <w:color w:val="1A6B6B"/>
          <w:sz w:val="22"/>
        </w:rPr>
        <w:t>考察交流 · 投促对接 · 长效合作  ·  V1.1</w:t>
      </w:r>
    </w:p>
    <w:p/>
    <w:p/>
    <w:p/>
    <w:p>
      <w:pPr>
        <w:spacing w:after="160" w:before="0"/>
        <w:jc w:val="center"/>
      </w:pPr>
      <w:r>
        <w:rPr>
          <w:rFonts w:ascii="微软雅黑" w:hAnsi="微软雅黑" w:eastAsia="微软雅黑"/>
          <w:b/>
          <w:sz w:val="25"/>
        </w:rPr>
        <w:t>组织方：复旦大学住房政策研究中心 · 上海市杨浦区科技企业联合会</w:t>
      </w:r>
    </w:p>
    <w:p>
      <w:pPr>
        <w:spacing w:after="160" w:before="0"/>
        <w:jc w:val="center"/>
      </w:pPr>
      <w:r>
        <w:rPr>
          <w:rFonts w:ascii="微软雅黑" w:hAnsi="微软雅黑" w:eastAsia="微软雅黑"/>
          <w:b/>
          <w:color w:val="0B3D5C"/>
          <w:sz w:val="25"/>
        </w:rPr>
        <w:t>提交对象：宁波经济技术开发区投资促进局</w:t>
      </w:r>
    </w:p>
    <w:p>
      <w:pPr>
        <w:spacing w:after="160" w:before="0"/>
        <w:jc w:val="center"/>
      </w:pPr>
      <w:r>
        <w:rPr>
          <w:rFonts w:ascii="微软雅黑" w:hAnsi="微软雅黑" w:eastAsia="微软雅黑"/>
          <w:b w:val="0"/>
          <w:sz w:val="24"/>
        </w:rPr>
        <w:t>考察人员：复旦大学校友及上海市科技企业家</w:t>
      </w:r>
    </w:p>
    <w:p>
      <w:pPr>
        <w:spacing w:after="160" w:before="0"/>
        <w:jc w:val="center"/>
      </w:pPr>
      <w:r>
        <w:rPr>
          <w:rFonts w:ascii="微软雅黑" w:hAnsi="微软雅黑" w:eastAsia="微软雅黑"/>
          <w:b w:val="0"/>
          <w:color w:val="5A636E"/>
          <w:sz w:val="24"/>
        </w:rPr>
        <w:t>2026年7月</w:t>
      </w:r>
    </w:p>
    <w:p>
      <w:r>
        <w:br w:type="page"/>
      </w:r>
    </w:p>
    <w:p>
      <w:pPr>
        <w:spacing w:before="280" w:after="160"/>
      </w:pPr>
      <w:r>
        <w:rPr>
          <w:rFonts w:ascii="微软雅黑" w:hAnsi="微软雅黑" w:eastAsia="微软雅黑"/>
          <w:b/>
          <w:color w:val="0B3D5C"/>
          <w:sz w:val="32"/>
        </w:rPr>
        <w:t>一、项目背景与目的</w:t>
      </w:r>
    </w:p>
    <w:p>
      <w:pPr>
        <w:spacing w:before="200" w:after="160"/>
      </w:pPr>
      <w:r>
        <w:rPr>
          <w:rFonts w:ascii="微软雅黑" w:hAnsi="微软雅黑" w:eastAsia="微软雅黑"/>
          <w:b/>
          <w:color w:val="0B3D5C"/>
          <w:sz w:val="27"/>
        </w:rPr>
        <w:t>1.1 背景</w:t>
      </w:r>
    </w:p>
    <w:p>
      <w:pPr>
        <w:spacing w:after="160" w:before="0"/>
        <w:ind w:firstLine="440"/>
      </w:pPr>
      <w:r>
        <w:rPr>
          <w:rFonts w:ascii="微软雅黑" w:hAnsi="微软雅黑" w:eastAsia="微软雅黑"/>
          <w:b w:val="0"/>
          <w:sz w:val="23"/>
        </w:rPr>
        <w:t>复旦大学住房政策研究中心与上海市杨浦区科技企业联合会长期服务上海及长三角科技企业、校友企业家与产业投资机构，持续开展政产学研协同、产业考察与投促对接。</w:t>
      </w:r>
    </w:p>
    <w:p>
      <w:pPr>
        <w:spacing w:after="160" w:before="0"/>
        <w:ind w:firstLine="440"/>
      </w:pPr>
      <w:r>
        <w:rPr>
          <w:rFonts w:ascii="微软雅黑" w:hAnsi="微软雅黑" w:eastAsia="微软雅黑"/>
          <w:b w:val="0"/>
          <w:sz w:val="23"/>
        </w:rPr>
        <w:t>宁波舟山港货物吞吐量连续多年位居全球第一、集装箱吞吐量稳居全球前列，穿山、梅山等港区构成世界级枢纽；宁波经济技术开发区（北仑）形成汽车、装备、石化等临港产业与集成电路、新材料、智能制造等新兴产业双重优势。</w:t>
      </w:r>
    </w:p>
    <w:p>
      <w:pPr>
        <w:spacing w:after="160" w:before="0"/>
        <w:ind w:firstLine="440"/>
      </w:pPr>
      <w:r>
        <w:rPr>
          <w:rFonts w:ascii="微软雅黑" w:hAnsi="微软雅黑" w:eastAsia="微软雅黑"/>
          <w:b w:val="0"/>
          <w:sz w:val="23"/>
        </w:rPr>
        <w:t>为深化沪甬产业协同与资源互通，拟组织复旦校友及上海市科技企业家赴宁波港精选点位及当地特色企业开展参访与投促交流，推动招商引资、科技孵化、产业导入与资本对接落地。</w:t>
      </w:r>
    </w:p>
    <w:p>
      <w:pPr>
        <w:spacing w:before="200" w:after="160"/>
      </w:pPr>
      <w:r>
        <w:rPr>
          <w:rFonts w:ascii="微软雅黑" w:hAnsi="微软雅黑" w:eastAsia="微软雅黑"/>
          <w:b/>
          <w:color w:val="0B3D5C"/>
          <w:sz w:val="27"/>
        </w:rPr>
        <w:t>1.2 考察目的</w:t>
      </w:r>
    </w:p>
    <w:p>
      <w:pPr>
        <w:pStyle w:val="ListBullet"/>
        <w:spacing w:after="60"/>
      </w:pPr>
      <w:r>
        <w:rPr>
          <w:rFonts w:ascii="微软雅黑" w:hAnsi="微软雅黑" w:eastAsia="微软雅黑"/>
          <w:color w:val="222A33"/>
          <w:sz w:val="23"/>
        </w:rPr>
        <w:t>实地了解宁波港枢纽能力、智慧港口与临港产业生态，以及开发区招商政策与载体资源。</w:t>
      </w:r>
    </w:p>
    <w:p>
      <w:pPr>
        <w:pStyle w:val="ListBullet"/>
        <w:spacing w:after="60"/>
      </w:pPr>
      <w:r>
        <w:rPr>
          <w:rFonts w:ascii="微软雅黑" w:hAnsi="微软雅黑" w:eastAsia="微软雅黑"/>
          <w:color w:val="222A33"/>
          <w:sz w:val="23"/>
        </w:rPr>
        <w:t>组织复旦校友与上海科技企业家与港口运营方、特色企业、园区、投促机构面对面交流。</w:t>
      </w:r>
    </w:p>
    <w:p>
      <w:pPr>
        <w:pStyle w:val="ListBullet"/>
        <w:spacing w:after="60"/>
      </w:pPr>
      <w:r>
        <w:rPr>
          <w:rFonts w:ascii="微软雅黑" w:hAnsi="微软雅黑" w:eastAsia="微软雅黑"/>
          <w:color w:val="222A33"/>
          <w:sz w:val="23"/>
        </w:rPr>
        <w:t>围绕招商引资、科技孵化、产业导入、PE/VC 与 CVC 投资等议题建立可跟进的互动链接。</w:t>
      </w:r>
    </w:p>
    <w:p>
      <w:pPr>
        <w:pStyle w:val="ListBullet"/>
        <w:spacing w:after="60"/>
      </w:pPr>
      <w:r>
        <w:rPr>
          <w:rFonts w:ascii="微软雅黑" w:hAnsi="微软雅黑" w:eastAsia="微软雅黑"/>
          <w:color w:val="222A33"/>
          <w:sz w:val="23"/>
        </w:rPr>
        <w:t>形成项目线索与合作意向清单，为后续双向走访、专题对接与落地转化奠基。</w:t>
      </w:r>
    </w:p>
    <w:p>
      <w:pPr>
        <w:spacing w:before="280" w:after="160"/>
      </w:pPr>
      <w:r>
        <w:rPr>
          <w:rFonts w:ascii="微软雅黑" w:hAnsi="微软雅黑" w:eastAsia="微软雅黑"/>
          <w:b/>
          <w:color w:val="0B3D5C"/>
          <w:sz w:val="32"/>
        </w:rPr>
        <w:t>二、组织方与接待单位</w:t>
      </w:r>
    </w:p>
    <w:p>
      <w:pPr>
        <w:spacing w:after="200" w:before="0"/>
        <w:ind w:firstLine="440"/>
      </w:pPr>
      <w:r>
        <w:rPr>
          <w:rFonts w:ascii="微软雅黑" w:hAnsi="微软雅黑" w:eastAsia="微软雅黑"/>
          <w:b w:val="0"/>
          <w:sz w:val="23"/>
        </w:rPr>
        <w:t>本次考察由复旦大学住房政策研究中心与上海市杨浦区科技企业联合会联合组织，恳请宁波经济技术开发区投资促进局作为接待单位予以统筹支持。</w:t>
      </w:r>
    </w:p>
    <w:p>
      <w:pPr>
        <w:spacing w:after="40" w:before="0"/>
      </w:pPr>
      <w:r>
        <w:rPr>
          <w:rFonts w:ascii="微软雅黑" w:hAnsi="微软雅黑" w:eastAsia="微软雅黑"/>
          <w:b/>
          <w:color w:val="1A6B6B"/>
          <w:sz w:val="22"/>
        </w:rPr>
        <w:t>组织方 · 学术与产业平台</w:t>
      </w:r>
    </w:p>
    <w:p>
      <w:pPr>
        <w:spacing w:after="80" w:before="0"/>
      </w:pPr>
      <w:r>
        <w:rPr>
          <w:rFonts w:ascii="微软雅黑" w:hAnsi="微软雅黑" w:eastAsia="微软雅黑"/>
          <w:b/>
          <w:color w:val="0B3D5C"/>
          <w:sz w:val="24"/>
        </w:rPr>
        <w:t>复旦大学住房政策研究中心</w:t>
      </w:r>
    </w:p>
    <w:p>
      <w:pPr>
        <w:pStyle w:val="ListBullet"/>
        <w:spacing w:after="60"/>
      </w:pPr>
      <w:r>
        <w:rPr>
          <w:rFonts w:ascii="微软雅黑" w:hAnsi="微软雅黑" w:eastAsia="微软雅黑"/>
          <w:color w:val="222A33"/>
          <w:sz w:val="22"/>
        </w:rPr>
        <w:t>统筹考察主题、议程设计与总结形成</w:t>
      </w:r>
    </w:p>
    <w:p>
      <w:pPr>
        <w:pStyle w:val="ListBullet"/>
        <w:spacing w:after="60"/>
      </w:pPr>
      <w:r>
        <w:rPr>
          <w:rFonts w:ascii="微软雅黑" w:hAnsi="微软雅黑" w:eastAsia="微软雅黑"/>
          <w:color w:val="222A33"/>
          <w:sz w:val="22"/>
        </w:rPr>
        <w:t>发挥复旦校友网络与政策研究优势，提升交流层级与专业深度</w:t>
      </w:r>
    </w:p>
    <w:p>
      <w:pPr>
        <w:pStyle w:val="ListBullet"/>
        <w:spacing w:after="60"/>
      </w:pPr>
      <w:r>
        <w:rPr>
          <w:rFonts w:ascii="微软雅黑" w:hAnsi="微软雅黑" w:eastAsia="微软雅黑"/>
          <w:color w:val="222A33"/>
          <w:sz w:val="22"/>
        </w:rPr>
        <w:t>协助梳理产业导入、空间载体与长效合作机制建议</w:t>
      </w:r>
    </w:p>
    <w:p>
      <w:pPr>
        <w:spacing w:after="40" w:before="0"/>
      </w:pPr>
      <w:r>
        <w:rPr>
          <w:rFonts w:ascii="微软雅黑" w:hAnsi="微软雅黑" w:eastAsia="微软雅黑"/>
          <w:b/>
          <w:color w:val="1A6B6B"/>
          <w:sz w:val="22"/>
        </w:rPr>
        <w:t>组织方 · 企业与资本组织</w:t>
      </w:r>
    </w:p>
    <w:p>
      <w:pPr>
        <w:spacing w:after="80" w:before="0"/>
      </w:pPr>
      <w:r>
        <w:rPr>
          <w:rFonts w:ascii="微软雅黑" w:hAnsi="微软雅黑" w:eastAsia="微软雅黑"/>
          <w:b/>
          <w:color w:val="0B3D5C"/>
          <w:sz w:val="24"/>
        </w:rPr>
        <w:t>上海市杨浦区科技企业联合会</w:t>
      </w:r>
    </w:p>
    <w:p>
      <w:pPr>
        <w:pStyle w:val="ListBullet"/>
        <w:spacing w:after="60"/>
      </w:pPr>
      <w:r>
        <w:rPr>
          <w:rFonts w:ascii="微软雅黑" w:hAnsi="微软雅黑" w:eastAsia="微软雅黑"/>
          <w:color w:val="222A33"/>
          <w:sz w:val="22"/>
        </w:rPr>
        <w:t>组织上海市科技企业家、科创企业与相关投资机构参与</w:t>
      </w:r>
    </w:p>
    <w:p>
      <w:pPr>
        <w:pStyle w:val="ListBullet"/>
        <w:spacing w:after="60"/>
      </w:pPr>
      <w:r>
        <w:rPr>
          <w:rFonts w:ascii="微软雅黑" w:hAnsi="微软雅黑" w:eastAsia="微软雅黑"/>
          <w:color w:val="222A33"/>
          <w:sz w:val="22"/>
        </w:rPr>
        <w:t>负责企业侧需求征集、参访对接与会后跟进撮合</w:t>
      </w:r>
    </w:p>
    <w:p>
      <w:pPr>
        <w:pStyle w:val="ListBullet"/>
        <w:spacing w:after="60"/>
      </w:pPr>
      <w:r>
        <w:rPr>
          <w:rFonts w:ascii="微软雅黑" w:hAnsi="微软雅黑" w:eastAsia="微软雅黑"/>
          <w:color w:val="222A33"/>
          <w:sz w:val="22"/>
        </w:rPr>
        <w:t>推动 PE/VC、CVC 与产业项目之间的投洽交流</w:t>
      </w:r>
    </w:p>
    <w:p>
      <w:pPr>
        <w:spacing w:after="40" w:before="0"/>
      </w:pPr>
      <w:r>
        <w:rPr>
          <w:rFonts w:ascii="微软雅黑" w:hAnsi="微软雅黑" w:eastAsia="微软雅黑"/>
          <w:b/>
          <w:color w:val="1A6B6B"/>
          <w:sz w:val="22"/>
        </w:rPr>
        <w:t>接待单位 · 投促主责方</w:t>
      </w:r>
    </w:p>
    <w:p>
      <w:pPr>
        <w:spacing w:after="80" w:before="0"/>
      </w:pPr>
      <w:r>
        <w:rPr>
          <w:rFonts w:ascii="微软雅黑" w:hAnsi="微软雅黑" w:eastAsia="微软雅黑"/>
          <w:b/>
          <w:color w:val="0B3D5C"/>
          <w:sz w:val="24"/>
        </w:rPr>
        <w:t>宁波经济技术开发区投资促进局</w:t>
      </w:r>
    </w:p>
    <w:p>
      <w:pPr>
        <w:pStyle w:val="ListBullet"/>
        <w:spacing w:after="60"/>
      </w:pPr>
      <w:r>
        <w:rPr>
          <w:rFonts w:ascii="微软雅黑" w:hAnsi="微软雅黑" w:eastAsia="微软雅黑"/>
          <w:color w:val="222A33"/>
          <w:sz w:val="22"/>
        </w:rPr>
        <w:t>统筹接待安排、政策宣讲与重点园区 / 企业参访协调</w:t>
      </w:r>
    </w:p>
    <w:p>
      <w:pPr>
        <w:pStyle w:val="ListBullet"/>
        <w:spacing w:after="60"/>
      </w:pPr>
      <w:r>
        <w:rPr>
          <w:rFonts w:ascii="微软雅黑" w:hAnsi="微软雅黑" w:eastAsia="微软雅黑"/>
          <w:color w:val="222A33"/>
          <w:sz w:val="22"/>
        </w:rPr>
        <w:t>协助对接宁波舟山港相关展厅 / 港区及当地特色企业、孵化器</w:t>
      </w:r>
    </w:p>
    <w:p>
      <w:pPr>
        <w:pStyle w:val="ListBullet"/>
        <w:spacing w:after="60"/>
      </w:pPr>
      <w:r>
        <w:rPr>
          <w:rFonts w:ascii="微软雅黑" w:hAnsi="微软雅黑" w:eastAsia="微软雅黑"/>
          <w:color w:val="222A33"/>
          <w:sz w:val="22"/>
        </w:rPr>
        <w:t>组织招商、投促与产业主管部门、企业代表座谈交流</w:t>
      </w:r>
    </w:p>
    <w:p>
      <w:pPr>
        <w:spacing w:before="280" w:after="160"/>
      </w:pPr>
      <w:r>
        <w:rPr>
          <w:rFonts w:ascii="微软雅黑" w:hAnsi="微软雅黑" w:eastAsia="微软雅黑"/>
          <w:b/>
          <w:color w:val="0B3D5C"/>
          <w:sz w:val="32"/>
        </w:rPr>
        <w:t>三、考察人员构成</w:t>
      </w:r>
    </w:p>
    <w:p>
      <w:pPr>
        <w:spacing w:after="120" w:before="0"/>
      </w:pPr>
      <w:r>
        <w:rPr>
          <w:rFonts w:ascii="微软雅黑" w:hAnsi="微软雅黑" w:eastAsia="微软雅黑"/>
          <w:b/>
          <w:sz w:val="23"/>
        </w:rPr>
        <w:t>建议规模：15–30 人（小而精、可深度交流）</w:t>
      </w:r>
    </w:p>
    <w:p>
      <w:pPr>
        <w:spacing w:after="200" w:before="0"/>
      </w:pPr>
      <w:r>
        <w:rPr>
          <w:rFonts w:ascii="微软雅黑" w:hAnsi="微软雅黑" w:eastAsia="微软雅黑"/>
          <w:b w:val="0"/>
          <w:color w:val="5A636E"/>
          <w:sz w:val="22"/>
        </w:rPr>
        <w:t>以上海出发、高铁 / 自驾往返为宜；具体人员名单将于出发前 10–15 个工作日书面确认。</w:t>
      </w:r>
    </w:p>
    <w:tbl>
      <w:tblPr>
        <w:tblStyle w:val="TableGrid"/>
        <w:tblW w:type="auto" w:w="0"/>
        <w:jc w:val="center"/>
        <w:tblLook w:firstColumn="1" w:firstRow="1" w:lastColumn="0" w:lastRow="0" w:noHBand="0" w:noVBand="1" w:val="04A0"/>
      </w:tblPr>
      <w:tblGrid>
        <w:gridCol w:w="4646"/>
        <w:gridCol w:w="4646"/>
      </w:tblGrid>
      <w:tr>
        <w:tc>
          <w:tcPr>
            <w:tcW w:type="dxa" w:w="4646"/>
            <w:shd w:val="clear" w:fill="0B3D5C"/>
          </w:tcPr>
          <w:p>
            <w:r>
              <w:rPr>
                <w:rFonts w:ascii="微软雅黑" w:hAnsi="微软雅黑" w:eastAsia="微软雅黑"/>
                <w:b/>
                <w:color w:val="FFFFFF"/>
                <w:sz w:val="21"/>
              </w:rPr>
              <w:t>类别</w:t>
            </w:r>
          </w:p>
        </w:tc>
        <w:tc>
          <w:tcPr>
            <w:tcW w:type="dxa" w:w="4646"/>
            <w:shd w:val="clear" w:fill="0B3D5C"/>
          </w:tcPr>
          <w:p>
            <w:r>
              <w:rPr>
                <w:rFonts w:ascii="微软雅黑" w:hAnsi="微软雅黑" w:eastAsia="微软雅黑"/>
                <w:b/>
                <w:color w:val="FFFFFF"/>
                <w:sz w:val="21"/>
              </w:rPr>
              <w:t>说明</w:t>
            </w:r>
          </w:p>
        </w:tc>
      </w:tr>
      <w:tr>
        <w:tc>
          <w:tcPr>
            <w:tcW w:type="dxa" w:w="4646"/>
          </w:tcPr>
          <w:p>
            <w:r>
              <w:rPr>
                <w:rFonts w:ascii="微软雅黑" w:hAnsi="微软雅黑" w:eastAsia="微软雅黑"/>
                <w:b w:val="0"/>
                <w:color w:val="222A33"/>
                <w:sz w:val="21"/>
              </w:rPr>
              <w:t>复旦大学校友</w:t>
            </w:r>
          </w:p>
        </w:tc>
        <w:tc>
          <w:tcPr>
            <w:tcW w:type="dxa" w:w="4646"/>
          </w:tcPr>
          <w:p>
            <w:r>
              <w:rPr>
                <w:rFonts w:ascii="微软雅黑" w:hAnsi="微软雅黑" w:eastAsia="微软雅黑"/>
                <w:b w:val="0"/>
                <w:color w:val="222A33"/>
                <w:sz w:val="21"/>
              </w:rPr>
              <w:t>覆盖科技、制造、不动产与产业投资等领域的校友企业家与高管</w:t>
            </w:r>
          </w:p>
        </w:tc>
      </w:tr>
      <w:tr>
        <w:tc>
          <w:tcPr>
            <w:tcW w:type="dxa" w:w="4646"/>
          </w:tcPr>
          <w:p>
            <w:r>
              <w:rPr>
                <w:rFonts w:ascii="微软雅黑" w:hAnsi="微软雅黑" w:eastAsia="微软雅黑"/>
                <w:b w:val="0"/>
                <w:color w:val="222A33"/>
                <w:sz w:val="21"/>
              </w:rPr>
              <w:t>上海市科技企业家</w:t>
            </w:r>
          </w:p>
        </w:tc>
        <w:tc>
          <w:tcPr>
            <w:tcW w:type="dxa" w:w="4646"/>
          </w:tcPr>
          <w:p>
            <w:r>
              <w:rPr>
                <w:rFonts w:ascii="微软雅黑" w:hAnsi="微软雅黑" w:eastAsia="微软雅黑"/>
                <w:b w:val="0"/>
                <w:color w:val="222A33"/>
                <w:sz w:val="21"/>
              </w:rPr>
              <w:t>杨浦及上海科创企业负责人、成长型企业与产业平台代表</w:t>
            </w:r>
          </w:p>
        </w:tc>
      </w:tr>
      <w:tr>
        <w:tc>
          <w:tcPr>
            <w:tcW w:type="dxa" w:w="4646"/>
          </w:tcPr>
          <w:p>
            <w:r>
              <w:rPr>
                <w:rFonts w:ascii="微软雅黑" w:hAnsi="微软雅黑" w:eastAsia="微软雅黑"/>
                <w:b w:val="0"/>
                <w:color w:val="222A33"/>
                <w:sz w:val="21"/>
              </w:rPr>
              <w:t>投资机构代表（拟）</w:t>
            </w:r>
          </w:p>
        </w:tc>
        <w:tc>
          <w:tcPr>
            <w:tcW w:type="dxa" w:w="4646"/>
          </w:tcPr>
          <w:p>
            <w:r>
              <w:rPr>
                <w:rFonts w:ascii="微软雅黑" w:hAnsi="微软雅黑" w:eastAsia="微软雅黑"/>
                <w:b w:val="0"/>
                <w:color w:val="222A33"/>
                <w:sz w:val="21"/>
              </w:rPr>
              <w:t>关注长三角先进制造、临港产业与硬科技的 PE/VC、CVC 机构</w:t>
            </w:r>
          </w:p>
        </w:tc>
      </w:tr>
      <w:tr>
        <w:tc>
          <w:tcPr>
            <w:tcW w:type="dxa" w:w="4646"/>
          </w:tcPr>
          <w:p>
            <w:r>
              <w:rPr>
                <w:rFonts w:ascii="微软雅黑" w:hAnsi="微软雅黑" w:eastAsia="微软雅黑"/>
                <w:b w:val="0"/>
                <w:color w:val="222A33"/>
                <w:sz w:val="21"/>
              </w:rPr>
              <w:t>组织方工作人员</w:t>
            </w:r>
          </w:p>
        </w:tc>
        <w:tc>
          <w:tcPr>
            <w:tcW w:type="dxa" w:w="4646"/>
          </w:tcPr>
          <w:p>
            <w:r>
              <w:rPr>
                <w:rFonts w:ascii="微软雅黑" w:hAnsi="微软雅黑" w:eastAsia="微软雅黑"/>
                <w:b w:val="0"/>
                <w:color w:val="222A33"/>
                <w:sz w:val="21"/>
              </w:rPr>
              <w:t>负责行程统筹、现场组织与会后线索跟进</w:t>
            </w:r>
          </w:p>
        </w:tc>
      </w:tr>
    </w:tbl>
    <w:p>
      <w:pPr>
        <w:spacing w:after="120" w:before="0"/>
      </w:pPr>
      <w:r>
        <w:rPr>
          <w:rFonts w:ascii="微软雅黑" w:hAnsi="微软雅黑" w:eastAsia="微软雅黑"/>
          <w:b w:val="0"/>
          <w:sz w:val="12"/>
        </w:rPr>
      </w:r>
    </w:p>
    <w:p>
      <w:pPr>
        <w:spacing w:before="280" w:after="160"/>
      </w:pPr>
      <w:r>
        <w:rPr>
          <w:rFonts w:ascii="微软雅黑" w:hAnsi="微软雅黑" w:eastAsia="微软雅黑"/>
          <w:b/>
          <w:color w:val="0B3D5C"/>
          <w:sz w:val="32"/>
        </w:rPr>
        <w:t>四、考察主题与长期合作方向</w:t>
      </w:r>
    </w:p>
    <w:p>
      <w:pPr>
        <w:spacing w:after="160" w:before="0"/>
        <w:ind w:firstLine="440"/>
      </w:pPr>
      <w:r>
        <w:rPr>
          <w:rFonts w:ascii="微软雅黑" w:hAnsi="微软雅黑" w:eastAsia="微软雅黑"/>
          <w:b w:val="0"/>
          <w:sz w:val="23"/>
        </w:rPr>
        <w:t>本次交流不仅聚焦单次参访，更着眼于围绕以下事项建立长期合作与投洽通道：</w:t>
      </w:r>
    </w:p>
    <w:p>
      <w:pPr>
        <w:spacing w:before="200" w:after="160"/>
      </w:pPr>
      <w:r>
        <w:rPr>
          <w:rFonts w:ascii="微软雅黑" w:hAnsi="微软雅黑" w:eastAsia="微软雅黑"/>
          <w:b/>
          <w:color w:val="0B3D5C"/>
          <w:sz w:val="27"/>
        </w:rPr>
        <w:t>4.1 招商引资与产业导入</w:t>
      </w:r>
    </w:p>
    <w:p>
      <w:pPr>
        <w:pStyle w:val="ListBullet"/>
        <w:spacing w:after="60"/>
      </w:pPr>
      <w:r>
        <w:rPr>
          <w:rFonts w:ascii="微软雅黑" w:hAnsi="微软雅黑" w:eastAsia="微软雅黑"/>
          <w:color w:val="222A33"/>
          <w:sz w:val="22"/>
        </w:rPr>
        <w:t>了解开发区主导产业、重点招商目录与优惠政策</w:t>
      </w:r>
    </w:p>
    <w:p>
      <w:pPr>
        <w:pStyle w:val="ListBullet"/>
        <w:spacing w:after="60"/>
      </w:pPr>
      <w:r>
        <w:rPr>
          <w:rFonts w:ascii="微软雅黑" w:hAnsi="微软雅黑" w:eastAsia="微软雅黑"/>
          <w:color w:val="222A33"/>
          <w:sz w:val="22"/>
        </w:rPr>
        <w:t>对接适合上海科技企业外溢落地、分支设立与产能布局的载体</w:t>
      </w:r>
    </w:p>
    <w:p>
      <w:pPr>
        <w:pStyle w:val="ListBullet"/>
        <w:spacing w:after="60"/>
      </w:pPr>
      <w:r>
        <w:rPr>
          <w:rFonts w:ascii="微软雅黑" w:hAnsi="微软雅黑" w:eastAsia="微软雅黑"/>
          <w:color w:val="222A33"/>
          <w:sz w:val="22"/>
        </w:rPr>
        <w:t>形成“上海研发 / 总部 + 宁波制造 / 临港场景”的协同导入路径</w:t>
      </w:r>
    </w:p>
    <w:p>
      <w:pPr>
        <w:spacing w:before="200" w:after="160"/>
      </w:pPr>
      <w:r>
        <w:rPr>
          <w:rFonts w:ascii="微软雅黑" w:hAnsi="微软雅黑" w:eastAsia="微软雅黑"/>
          <w:b/>
          <w:color w:val="0B3D5C"/>
          <w:sz w:val="27"/>
        </w:rPr>
        <w:t>4.2 科技孵化与创新生态</w:t>
      </w:r>
    </w:p>
    <w:p>
      <w:pPr>
        <w:pStyle w:val="ListBullet"/>
        <w:spacing w:after="60"/>
      </w:pPr>
      <w:r>
        <w:rPr>
          <w:rFonts w:ascii="微软雅黑" w:hAnsi="微软雅黑" w:eastAsia="微软雅黑"/>
          <w:color w:val="222A33"/>
          <w:sz w:val="22"/>
        </w:rPr>
        <w:t>参访开发区科技创业园、甬江科创区北仑片区等孵化加速载体</w:t>
      </w:r>
    </w:p>
    <w:p>
      <w:pPr>
        <w:pStyle w:val="ListBullet"/>
        <w:spacing w:after="60"/>
      </w:pPr>
      <w:r>
        <w:rPr>
          <w:rFonts w:ascii="微软雅黑" w:hAnsi="微软雅黑" w:eastAsia="微软雅黑"/>
          <w:color w:val="222A33"/>
          <w:sz w:val="22"/>
        </w:rPr>
        <w:t>交流沪甬双城孵化协同、校友创业项目落地与导师资源互通</w:t>
      </w:r>
    </w:p>
    <w:p>
      <w:pPr>
        <w:pStyle w:val="ListBullet"/>
        <w:spacing w:after="60"/>
      </w:pPr>
      <w:r>
        <w:rPr>
          <w:rFonts w:ascii="微软雅黑" w:hAnsi="微软雅黑" w:eastAsia="微软雅黑"/>
          <w:color w:val="222A33"/>
          <w:sz w:val="22"/>
        </w:rPr>
        <w:t>探讨联合路演、联合孵化与场景验证合作机制</w:t>
      </w:r>
    </w:p>
    <w:p>
      <w:pPr>
        <w:spacing w:before="200" w:after="160"/>
      </w:pPr>
      <w:r>
        <w:rPr>
          <w:rFonts w:ascii="微软雅黑" w:hAnsi="微软雅黑" w:eastAsia="微软雅黑"/>
          <w:b/>
          <w:color w:val="0B3D5C"/>
          <w:sz w:val="27"/>
        </w:rPr>
        <w:t>4.3 宁波港与临港产业参访</w:t>
      </w:r>
    </w:p>
    <w:p>
      <w:pPr>
        <w:pStyle w:val="ListBullet"/>
        <w:spacing w:after="60"/>
      </w:pPr>
      <w:r>
        <w:rPr>
          <w:rFonts w:ascii="微软雅黑" w:hAnsi="微软雅黑" w:eastAsia="微软雅黑"/>
          <w:color w:val="222A33"/>
          <w:sz w:val="22"/>
        </w:rPr>
        <w:t>精选穿山港区、航运展示厅等可接待点位，直观认知世界级枢纽</w:t>
      </w:r>
    </w:p>
    <w:p>
      <w:pPr>
        <w:pStyle w:val="ListBullet"/>
        <w:spacing w:after="60"/>
      </w:pPr>
      <w:r>
        <w:rPr>
          <w:rFonts w:ascii="微软雅黑" w:hAnsi="微软雅黑" w:eastAsia="微软雅黑"/>
          <w:color w:val="222A33"/>
          <w:sz w:val="22"/>
        </w:rPr>
        <w:t>对接外贸、供应链、海铁联运、港航服务与物流科技合作机会</w:t>
      </w:r>
    </w:p>
    <w:p>
      <w:pPr>
        <w:pStyle w:val="ListBullet"/>
        <w:spacing w:after="60"/>
      </w:pPr>
      <w:r>
        <w:rPr>
          <w:rFonts w:ascii="微软雅黑" w:hAnsi="微软雅黑" w:eastAsia="微软雅黑"/>
          <w:color w:val="222A33"/>
          <w:sz w:val="22"/>
        </w:rPr>
        <w:t>把港口认知转化为企业家供应链与出海场景的务实对话</w:t>
      </w:r>
    </w:p>
    <w:p>
      <w:pPr>
        <w:spacing w:before="200" w:after="160"/>
      </w:pPr>
      <w:r>
        <w:rPr>
          <w:rFonts w:ascii="微软雅黑" w:hAnsi="微软雅黑" w:eastAsia="微软雅黑"/>
          <w:b/>
          <w:color w:val="0B3D5C"/>
          <w:sz w:val="27"/>
        </w:rPr>
        <w:t>4.4 PE/VC 与 CVC 投洽合作</w:t>
      </w:r>
    </w:p>
    <w:p>
      <w:pPr>
        <w:pStyle w:val="ListBullet"/>
        <w:spacing w:after="60"/>
      </w:pPr>
      <w:r>
        <w:rPr>
          <w:rFonts w:ascii="微软雅黑" w:hAnsi="微软雅黑" w:eastAsia="微软雅黑"/>
          <w:color w:val="222A33"/>
          <w:sz w:val="22"/>
        </w:rPr>
        <w:t>组织投资机构与当地优质企业、项目方开展闭门投洽</w:t>
      </w:r>
    </w:p>
    <w:p>
      <w:pPr>
        <w:pStyle w:val="ListBullet"/>
        <w:spacing w:after="60"/>
      </w:pPr>
      <w:r>
        <w:rPr>
          <w:rFonts w:ascii="微软雅黑" w:hAnsi="微软雅黑" w:eastAsia="微软雅黑"/>
          <w:color w:val="222A33"/>
          <w:sz w:val="22"/>
        </w:rPr>
        <w:t>围绕成长期项目融资、产业并购、CVC 战略投资等议题交流</w:t>
      </w:r>
    </w:p>
    <w:p>
      <w:pPr>
        <w:pStyle w:val="ListBullet"/>
        <w:spacing w:after="60"/>
      </w:pPr>
      <w:r>
        <w:rPr>
          <w:rFonts w:ascii="微软雅黑" w:hAnsi="微软雅黑" w:eastAsia="微软雅黑"/>
          <w:color w:val="222A33"/>
          <w:sz w:val="22"/>
        </w:rPr>
        <w:t>建立项目信息互通与常态化投促对接机制</w:t>
      </w:r>
    </w:p>
    <w:p>
      <w:r>
        <w:br w:type="page"/>
      </w:r>
    </w:p>
    <w:p>
      <w:pPr>
        <w:spacing w:before="280" w:after="160"/>
      </w:pPr>
      <w:r>
        <w:rPr>
          <w:rFonts w:ascii="微软雅黑" w:hAnsi="微软雅黑" w:eastAsia="微软雅黑"/>
          <w:b/>
          <w:color w:val="0B3D5C"/>
          <w:sz w:val="32"/>
        </w:rPr>
        <w:t>五、宁波港及周边参访资源筛选</w:t>
      </w:r>
    </w:p>
    <w:p>
      <w:pPr>
        <w:spacing w:after="160" w:before="0"/>
        <w:ind w:firstLine="440"/>
      </w:pPr>
      <w:r>
        <w:rPr>
          <w:rFonts w:ascii="微软雅黑" w:hAnsi="微软雅黑" w:eastAsia="微软雅黑"/>
          <w:b w:val="0"/>
          <w:sz w:val="23"/>
        </w:rPr>
        <w:t>宁波港体量大、港区多，不宜“走马观花”。本策划案按“可接待、可对话、可转化”三原则，从港口枢纽、港航服务、临港智造、科创孵化四条线筛选值得考察的点位，并设计与复旦校友、上海科技企业家及投资机构之间的互动链接。</w:t>
      </w:r>
    </w:p>
    <w:p>
      <w:pPr>
        <w:spacing w:after="200" w:before="0"/>
      </w:pPr>
      <w:r>
        <w:rPr>
          <w:rFonts w:ascii="微软雅黑" w:hAnsi="微软雅黑" w:eastAsia="微软雅黑"/>
          <w:b/>
          <w:color w:val="1A6B6B"/>
          <w:sz w:val="23"/>
        </w:rPr>
        <w:t>建议认知路径：港口枢纽（看世界）→ 港航服务（懂通道）→ 临港智造（见产业）→ 科创载体（谈落地）→ 资本投洽（促转化），形成“看—问—对—跟”完整闭环。</w:t>
      </w:r>
    </w:p>
    <w:p>
      <w:pPr>
        <w:spacing w:before="200" w:after="160"/>
      </w:pPr>
      <w:r>
        <w:rPr>
          <w:rFonts w:ascii="微软雅黑" w:hAnsi="微软雅黑" w:eastAsia="微软雅黑"/>
          <w:b/>
          <w:color w:val="0B3D5C"/>
          <w:sz w:val="27"/>
        </w:rPr>
        <w:t>5.1 筛选原则</w:t>
      </w:r>
    </w:p>
    <w:tbl>
      <w:tblPr>
        <w:tblStyle w:val="TableGrid"/>
        <w:tblW w:type="auto" w:w="0"/>
        <w:jc w:val="center"/>
        <w:tblLook w:firstColumn="1" w:firstRow="1" w:lastColumn="0" w:lastRow="0" w:noHBand="0" w:noVBand="1" w:val="04A0"/>
      </w:tblPr>
      <w:tblGrid>
        <w:gridCol w:w="4646"/>
        <w:gridCol w:w="4646"/>
      </w:tblGrid>
      <w:tr>
        <w:tc>
          <w:tcPr>
            <w:tcW w:type="dxa" w:w="4646"/>
            <w:shd w:val="clear" w:fill="0B3D5C"/>
          </w:tcPr>
          <w:p>
            <w:r>
              <w:rPr>
                <w:rFonts w:ascii="微软雅黑" w:hAnsi="微软雅黑" w:eastAsia="微软雅黑"/>
                <w:b/>
                <w:color w:val="FFFFFF"/>
                <w:sz w:val="21"/>
              </w:rPr>
              <w:t>原则</w:t>
            </w:r>
          </w:p>
        </w:tc>
        <w:tc>
          <w:tcPr>
            <w:tcW w:type="dxa" w:w="4646"/>
            <w:shd w:val="clear" w:fill="0B3D5C"/>
          </w:tcPr>
          <w:p>
            <w:r>
              <w:rPr>
                <w:rFonts w:ascii="微软雅黑" w:hAnsi="微软雅黑" w:eastAsia="微软雅黑"/>
                <w:b/>
                <w:color w:val="FFFFFF"/>
                <w:sz w:val="21"/>
              </w:rPr>
              <w:t>说明</w:t>
            </w:r>
          </w:p>
        </w:tc>
      </w:tr>
      <w:tr>
        <w:tc>
          <w:tcPr>
            <w:tcW w:type="dxa" w:w="4646"/>
          </w:tcPr>
          <w:p>
            <w:r>
              <w:rPr>
                <w:rFonts w:ascii="微软雅黑" w:hAnsi="微软雅黑" w:eastAsia="微软雅黑"/>
                <w:b w:val="0"/>
                <w:color w:val="222A33"/>
                <w:sz w:val="21"/>
              </w:rPr>
              <w:t>可接待性</w:t>
            </w:r>
          </w:p>
        </w:tc>
        <w:tc>
          <w:tcPr>
            <w:tcW w:type="dxa" w:w="4646"/>
          </w:tcPr>
          <w:p>
            <w:r>
              <w:rPr>
                <w:rFonts w:ascii="微软雅黑" w:hAnsi="微软雅黑" w:eastAsia="微软雅黑"/>
                <w:b w:val="0"/>
                <w:color w:val="222A33"/>
                <w:sz w:val="21"/>
              </w:rPr>
              <w:t>具备展厅、观景平台或团队接待先例，便于投促局协调开放</w:t>
            </w:r>
          </w:p>
        </w:tc>
      </w:tr>
      <w:tr>
        <w:tc>
          <w:tcPr>
            <w:tcW w:type="dxa" w:w="4646"/>
          </w:tcPr>
          <w:p>
            <w:r>
              <w:rPr>
                <w:rFonts w:ascii="微软雅黑" w:hAnsi="微软雅黑" w:eastAsia="微软雅黑"/>
                <w:b w:val="0"/>
                <w:color w:val="222A33"/>
                <w:sz w:val="21"/>
              </w:rPr>
              <w:t>认知价值</w:t>
            </w:r>
          </w:p>
        </w:tc>
        <w:tc>
          <w:tcPr>
            <w:tcW w:type="dxa" w:w="4646"/>
          </w:tcPr>
          <w:p>
            <w:r>
              <w:rPr>
                <w:rFonts w:ascii="微软雅黑" w:hAnsi="微软雅黑" w:eastAsia="微软雅黑"/>
                <w:b w:val="0"/>
                <w:color w:val="222A33"/>
                <w:sz w:val="21"/>
              </w:rPr>
              <w:t>能在有限时间内建立对世界级港口与临港产业的系统性认知</w:t>
            </w:r>
          </w:p>
        </w:tc>
      </w:tr>
      <w:tr>
        <w:tc>
          <w:tcPr>
            <w:tcW w:type="dxa" w:w="4646"/>
          </w:tcPr>
          <w:p>
            <w:r>
              <w:rPr>
                <w:rFonts w:ascii="微软雅黑" w:hAnsi="微软雅黑" w:eastAsia="微软雅黑"/>
                <w:b w:val="0"/>
                <w:color w:val="222A33"/>
                <w:sz w:val="21"/>
              </w:rPr>
              <w:t>产业匹配</w:t>
            </w:r>
          </w:p>
        </w:tc>
        <w:tc>
          <w:tcPr>
            <w:tcW w:type="dxa" w:w="4646"/>
          </w:tcPr>
          <w:p>
            <w:r>
              <w:rPr>
                <w:rFonts w:ascii="微软雅黑" w:hAnsi="微软雅黑" w:eastAsia="微软雅黑"/>
                <w:b w:val="0"/>
                <w:color w:val="222A33"/>
                <w:sz w:val="21"/>
              </w:rPr>
              <w:t>与上海科技企业外溢、供应链协同、智能制造、新能源等需求相关</w:t>
            </w:r>
          </w:p>
        </w:tc>
      </w:tr>
      <w:tr>
        <w:tc>
          <w:tcPr>
            <w:tcW w:type="dxa" w:w="4646"/>
          </w:tcPr>
          <w:p>
            <w:r>
              <w:rPr>
                <w:rFonts w:ascii="微软雅黑" w:hAnsi="微软雅黑" w:eastAsia="微软雅黑"/>
                <w:b w:val="0"/>
                <w:color w:val="222A33"/>
                <w:sz w:val="21"/>
              </w:rPr>
              <w:t>互动转化</w:t>
            </w:r>
          </w:p>
        </w:tc>
        <w:tc>
          <w:tcPr>
            <w:tcW w:type="dxa" w:w="4646"/>
          </w:tcPr>
          <w:p>
            <w:r>
              <w:rPr>
                <w:rFonts w:ascii="微软雅黑" w:hAnsi="微软雅黑" w:eastAsia="微软雅黑"/>
                <w:b w:val="0"/>
                <w:color w:val="222A33"/>
                <w:sz w:val="21"/>
              </w:rPr>
              <w:t>现场或会后可形成座谈、供需对接、孵化落地或投融资线索</w:t>
            </w:r>
          </w:p>
        </w:tc>
      </w:tr>
    </w:tbl>
    <w:p>
      <w:pPr>
        <w:spacing w:after="120" w:before="0"/>
      </w:pPr>
      <w:r>
        <w:rPr>
          <w:rFonts w:ascii="微软雅黑" w:hAnsi="微软雅黑" w:eastAsia="微软雅黑"/>
          <w:b w:val="0"/>
          <w:sz w:val="12"/>
        </w:rPr>
      </w:r>
    </w:p>
    <w:p>
      <w:pPr>
        <w:spacing w:before="200" w:after="160"/>
      </w:pPr>
      <w:r>
        <w:rPr>
          <w:rFonts w:ascii="微软雅黑" w:hAnsi="微软雅黑" w:eastAsia="微软雅黑"/>
          <w:b/>
          <w:color w:val="0B3D5C"/>
          <w:sz w:val="27"/>
        </w:rPr>
        <w:t>5.2 港口线精选点位</w:t>
      </w:r>
    </w:p>
    <w:p>
      <w:pPr>
        <w:spacing w:after="80" w:before="0"/>
      </w:pPr>
      <w:r>
        <w:rPr>
          <w:rFonts w:ascii="微软雅黑" w:hAnsi="微软雅黑" w:eastAsia="微软雅黑"/>
          <w:b/>
          <w:color w:val="0B3D5C"/>
          <w:sz w:val="24"/>
        </w:rPr>
        <w:t>【核心必看】穿山港区 · 北仑第三集装箱码头（展厅 + 观景平台）</w:t>
      </w:r>
    </w:p>
    <w:p>
      <w:pPr>
        <w:pStyle w:val="ListBullet"/>
        <w:spacing w:after="60"/>
      </w:pPr>
      <w:r>
        <w:rPr>
          <w:rFonts w:ascii="微软雅黑" w:hAnsi="微软雅黑" w:eastAsia="微软雅黑"/>
          <w:color w:val="222A33"/>
          <w:sz w:val="22"/>
        </w:rPr>
        <w:t>为何值得去：全球领先的深水集装箱码头之一，可直观感受桥吊、堆场与远控化智慧作业；媒体与政务团参访频次高，接待路径相对成熟。</w:t>
      </w:r>
    </w:p>
    <w:p>
      <w:pPr>
        <w:pStyle w:val="ListBullet"/>
        <w:spacing w:after="60"/>
      </w:pPr>
      <w:r>
        <w:rPr>
          <w:rFonts w:ascii="微软雅黑" w:hAnsi="微软雅黑" w:eastAsia="微软雅黑"/>
          <w:color w:val="222A33"/>
          <w:sz w:val="22"/>
        </w:rPr>
        <w:t>看什么：码头展厅讲解、12 楼观景平台俯瞰集装箱作业、智慧港口与远控化作业介绍。</w:t>
      </w:r>
    </w:p>
    <w:p>
      <w:pPr>
        <w:pStyle w:val="ListBullet"/>
        <w:spacing w:after="60"/>
      </w:pPr>
      <w:r>
        <w:rPr>
          <w:rFonts w:ascii="微软雅黑" w:hAnsi="微软雅黑" w:eastAsia="微软雅黑"/>
          <w:color w:val="222A33"/>
          <w:sz w:val="22"/>
        </w:rPr>
        <w:t>现场互动：与港区运营方座谈：航线网络、海铁联运、外贸箱量、物流时效与企业用港痛点。</w:t>
      </w:r>
    </w:p>
    <w:p>
      <w:pPr>
        <w:pStyle w:val="ListBullet"/>
        <w:spacing w:after="60"/>
      </w:pPr>
      <w:r>
        <w:rPr>
          <w:rFonts w:ascii="微软雅黑" w:hAnsi="微软雅黑" w:eastAsia="微软雅黑"/>
          <w:color w:val="222A33"/>
          <w:sz w:val="22"/>
        </w:rPr>
        <w:t>与沪方链接：匹配对象：外贸制造、跨境电商、供应链 / 物流科技、出海服务企业；形成“沪企用港 / 供应链优化”意向清单。</w:t>
      </w:r>
    </w:p>
    <w:p>
      <w:pPr>
        <w:spacing w:after="80" w:before="0"/>
      </w:pPr>
      <w:r>
        <w:rPr>
          <w:rFonts w:ascii="微软雅黑" w:hAnsi="微软雅黑" w:eastAsia="微软雅黑"/>
          <w:b/>
          <w:color w:val="0B3D5C"/>
          <w:sz w:val="24"/>
        </w:rPr>
        <w:t>【核心必看】宁波环球航运广场 · 宁波舟山港展示厅</w:t>
      </w:r>
    </w:p>
    <w:p>
      <w:pPr>
        <w:pStyle w:val="ListBullet"/>
        <w:spacing w:after="60"/>
      </w:pPr>
      <w:r>
        <w:rPr>
          <w:rFonts w:ascii="微软雅黑" w:hAnsi="微软雅黑" w:eastAsia="微软雅黑"/>
          <w:color w:val="222A33"/>
          <w:sz w:val="22"/>
        </w:rPr>
        <w:t>为何值得去：系统呈现港口发展史、航线覆盖、海铁联运与数字化能力，含模拟体验，适合决策层快速建立全景认知。</w:t>
      </w:r>
    </w:p>
    <w:p>
      <w:pPr>
        <w:pStyle w:val="ListBullet"/>
        <w:spacing w:after="60"/>
      </w:pPr>
      <w:r>
        <w:rPr>
          <w:rFonts w:ascii="微软雅黑" w:hAnsi="微软雅黑" w:eastAsia="微软雅黑"/>
          <w:color w:val="222A33"/>
          <w:sz w:val="22"/>
        </w:rPr>
        <w:t>看什么：港口全景展示、5D / 虚拟体验、集装箱作业模拟、港航服务与开放平台介绍。</w:t>
      </w:r>
    </w:p>
    <w:p>
      <w:pPr>
        <w:pStyle w:val="ListBullet"/>
        <w:spacing w:after="60"/>
      </w:pPr>
      <w:r>
        <w:rPr>
          <w:rFonts w:ascii="微软雅黑" w:hAnsi="微软雅黑" w:eastAsia="微软雅黑"/>
          <w:color w:val="222A33"/>
          <w:sz w:val="22"/>
        </w:rPr>
        <w:t>现场互动：港航服务圆桌：航运代理、仓储、报关、金融与数字化服务需求对接。</w:t>
      </w:r>
    </w:p>
    <w:p>
      <w:pPr>
        <w:pStyle w:val="ListBullet"/>
        <w:spacing w:after="60"/>
      </w:pPr>
      <w:r>
        <w:rPr>
          <w:rFonts w:ascii="微软雅黑" w:hAnsi="微软雅黑" w:eastAsia="微软雅黑"/>
          <w:color w:val="222A33"/>
          <w:sz w:val="22"/>
        </w:rPr>
        <w:t>与沪方链接：匹配对象：港航服务、贸易数字化、供应链金融相关校友企业；沉淀可跟进的服务合作与场景验证需求。</w:t>
      </w:r>
    </w:p>
    <w:p>
      <w:pPr>
        <w:spacing w:after="80" w:before="0"/>
      </w:pPr>
      <w:r>
        <w:rPr>
          <w:rFonts w:ascii="微软雅黑" w:hAnsi="微软雅黑" w:eastAsia="微软雅黑"/>
          <w:b/>
          <w:color w:val="0B3D5C"/>
          <w:sz w:val="24"/>
        </w:rPr>
        <w:t>【推荐加深】梅山港区（集装箱码头 / LNG 加注能力认知）</w:t>
      </w:r>
    </w:p>
    <w:p>
      <w:pPr>
        <w:pStyle w:val="ListBullet"/>
        <w:spacing w:after="60"/>
      </w:pPr>
      <w:r>
        <w:rPr>
          <w:rFonts w:ascii="微软雅黑" w:hAnsi="微软雅黑" w:eastAsia="微软雅黑"/>
          <w:color w:val="222A33"/>
          <w:sz w:val="22"/>
        </w:rPr>
        <w:t>为何值得去：与穿山共同构成“双千万箱级”单体码头格局，外贸泊位齐全，并具备国际船舶 LNG 加注等绿色港口能力。</w:t>
      </w:r>
    </w:p>
    <w:p>
      <w:pPr>
        <w:pStyle w:val="ListBullet"/>
        <w:spacing w:after="60"/>
      </w:pPr>
      <w:r>
        <w:rPr>
          <w:rFonts w:ascii="微软雅黑" w:hAnsi="微软雅黑" w:eastAsia="微软雅黑"/>
          <w:color w:val="222A33"/>
          <w:sz w:val="22"/>
        </w:rPr>
        <w:t>看什么：港区概览、绿色港口与加注服务能力介绍（具体开放范围以港方安排为准）。</w:t>
      </w:r>
    </w:p>
    <w:p>
      <w:pPr>
        <w:pStyle w:val="ListBullet"/>
        <w:spacing w:after="60"/>
      </w:pPr>
      <w:r>
        <w:rPr>
          <w:rFonts w:ascii="微软雅黑" w:hAnsi="微软雅黑" w:eastAsia="微软雅黑"/>
          <w:color w:val="222A33"/>
          <w:sz w:val="22"/>
        </w:rPr>
        <w:t>现场互动：绿色航运与新能源补给话题交流，对接绿色物流、船燃与低碳供应链议题。</w:t>
      </w:r>
    </w:p>
    <w:p>
      <w:pPr>
        <w:pStyle w:val="ListBullet"/>
        <w:spacing w:after="60"/>
      </w:pPr>
      <w:r>
        <w:rPr>
          <w:rFonts w:ascii="微软雅黑" w:hAnsi="微软雅黑" w:eastAsia="微软雅黑"/>
          <w:color w:val="222A33"/>
          <w:sz w:val="22"/>
        </w:rPr>
        <w:t>与沪方链接：匹配对象：新能源、绿色制造、出口导向企业；探讨低碳出海与绿色供应链合作。</w:t>
      </w:r>
    </w:p>
    <w:p>
      <w:pPr>
        <w:spacing w:after="80" w:before="0"/>
      </w:pPr>
      <w:r>
        <w:rPr>
          <w:rFonts w:ascii="微软雅黑" w:hAnsi="微软雅黑" w:eastAsia="微软雅黑"/>
          <w:b/>
          <w:color w:val="0B3D5C"/>
          <w:sz w:val="24"/>
        </w:rPr>
        <w:t>【文化选配】宁波中国港口博物馆（梅山湾 · 春晓）</w:t>
      </w:r>
    </w:p>
    <w:p>
      <w:pPr>
        <w:pStyle w:val="ListBullet"/>
        <w:spacing w:after="60"/>
      </w:pPr>
      <w:r>
        <w:rPr>
          <w:rFonts w:ascii="微软雅黑" w:hAnsi="微软雅黑" w:eastAsia="微软雅黑"/>
          <w:color w:val="222A33"/>
          <w:sz w:val="22"/>
        </w:rPr>
        <w:t>为何值得去：国务院命名的“国字号”港口专题博物馆、国家一级馆，适合作为港口文化与开放叙事的补充环节（非生产现场）。</w:t>
      </w:r>
    </w:p>
    <w:p>
      <w:pPr>
        <w:pStyle w:val="ListBullet"/>
        <w:spacing w:after="60"/>
      </w:pPr>
      <w:r>
        <w:rPr>
          <w:rFonts w:ascii="微软雅黑" w:hAnsi="微软雅黑" w:eastAsia="微软雅黑"/>
          <w:color w:val="222A33"/>
          <w:sz w:val="22"/>
        </w:rPr>
        <w:t>看什么：港口史、航海科技与水下考古常设展；团队需提前预约讲解。</w:t>
      </w:r>
    </w:p>
    <w:p>
      <w:pPr>
        <w:pStyle w:val="ListBullet"/>
        <w:spacing w:after="60"/>
      </w:pPr>
      <w:r>
        <w:rPr>
          <w:rFonts w:ascii="微软雅黑" w:hAnsi="微软雅黑" w:eastAsia="微软雅黑"/>
          <w:color w:val="222A33"/>
          <w:sz w:val="22"/>
        </w:rPr>
        <w:t>现场互动：轻量文化分享 + 合影留念，增强考察仪式感与传播素材。</w:t>
      </w:r>
    </w:p>
    <w:p>
      <w:pPr>
        <w:pStyle w:val="ListBullet"/>
        <w:spacing w:after="60"/>
      </w:pPr>
      <w:r>
        <w:rPr>
          <w:rFonts w:ascii="微软雅黑" w:hAnsi="微软雅黑" w:eastAsia="微软雅黑"/>
          <w:color w:val="222A33"/>
          <w:sz w:val="22"/>
        </w:rPr>
        <w:t>与沪方链接：适合一日行收尾或两日行弹性插空；不替代码头与企业深度对接。</w:t>
      </w:r>
    </w:p>
    <w:p>
      <w:pPr>
        <w:spacing w:before="200" w:after="160"/>
      </w:pPr>
      <w:r>
        <w:rPr>
          <w:rFonts w:ascii="微软雅黑" w:hAnsi="微软雅黑" w:eastAsia="微软雅黑"/>
          <w:b/>
          <w:color w:val="0B3D5C"/>
          <w:sz w:val="27"/>
        </w:rPr>
        <w:t>5.3 产业与孵化线精选点位</w:t>
      </w:r>
    </w:p>
    <w:p>
      <w:pPr>
        <w:spacing w:after="80" w:before="0"/>
      </w:pPr>
      <w:r>
        <w:rPr>
          <w:rFonts w:ascii="微软雅黑" w:hAnsi="微软雅黑" w:eastAsia="微软雅黑"/>
          <w:b/>
          <w:color w:val="0B3D5C"/>
          <w:sz w:val="24"/>
        </w:rPr>
        <w:t>【核心必看】海天智能制造基地 / 海天高端精密产业园</w:t>
      </w:r>
    </w:p>
    <w:p>
      <w:pPr>
        <w:pStyle w:val="ListBullet"/>
        <w:spacing w:after="60"/>
      </w:pPr>
      <w:r>
        <w:rPr>
          <w:rFonts w:ascii="微软雅黑" w:hAnsi="微软雅黑" w:eastAsia="微软雅黑"/>
          <w:color w:val="222A33"/>
          <w:sz w:val="22"/>
        </w:rPr>
        <w:t>为何值得去：全球注塑机制造龙头所在地，北仑注塑与模具产业集群核心；智能工厂开放接待经验丰富，产业带动面广。</w:t>
      </w:r>
    </w:p>
    <w:p>
      <w:pPr>
        <w:pStyle w:val="ListBullet"/>
        <w:spacing w:after="60"/>
      </w:pPr>
      <w:r>
        <w:rPr>
          <w:rFonts w:ascii="微软雅黑" w:hAnsi="微软雅黑" w:eastAsia="微软雅黑"/>
          <w:color w:val="222A33"/>
          <w:sz w:val="22"/>
        </w:rPr>
        <w:t>看什么：智能工厂、高端装备产线、应用体验与产业集群配套介绍。</w:t>
      </w:r>
    </w:p>
    <w:p>
      <w:pPr>
        <w:pStyle w:val="ListBullet"/>
        <w:spacing w:after="60"/>
      </w:pPr>
      <w:r>
        <w:rPr>
          <w:rFonts w:ascii="微软雅黑" w:hAnsi="微软雅黑" w:eastAsia="微软雅黑"/>
          <w:color w:val="222A33"/>
          <w:sz w:val="22"/>
        </w:rPr>
        <w:t>现场互动：智能制造闭门交流：设备升级、模具协同、出海产能与供应链配套。</w:t>
      </w:r>
    </w:p>
    <w:p>
      <w:pPr>
        <w:pStyle w:val="ListBullet"/>
        <w:spacing w:after="60"/>
      </w:pPr>
      <w:r>
        <w:rPr>
          <w:rFonts w:ascii="微软雅黑" w:hAnsi="微软雅黑" w:eastAsia="微软雅黑"/>
          <w:color w:val="222A33"/>
          <w:sz w:val="22"/>
        </w:rPr>
        <w:t>与沪方链接：匹配对象：智能硬件、新材料、装备自动化、消费电子制造企业；探讨设备采购、联合研发或产能落地。</w:t>
      </w:r>
    </w:p>
    <w:p>
      <w:pPr>
        <w:spacing w:after="80" w:before="0"/>
      </w:pPr>
      <w:r>
        <w:rPr>
          <w:rFonts w:ascii="微软雅黑" w:hAnsi="微软雅黑" w:eastAsia="微软雅黑"/>
          <w:b/>
          <w:color w:val="0B3D5C"/>
          <w:sz w:val="24"/>
        </w:rPr>
        <w:t>【核心必看】极氪梅山智慧工厂（或吉利新能源相关载体）</w:t>
      </w:r>
    </w:p>
    <w:p>
      <w:pPr>
        <w:pStyle w:val="ListBullet"/>
        <w:spacing w:after="60"/>
      </w:pPr>
      <w:r>
        <w:rPr>
          <w:rFonts w:ascii="微软雅黑" w:hAnsi="微软雅黑" w:eastAsia="微软雅黑"/>
          <w:color w:val="222A33"/>
          <w:sz w:val="22"/>
        </w:rPr>
        <w:t>为何值得去：新能源整车智造标杆，位于梅山，可与港口、外贸出口场景形成“制造 + 出海”一体认知；适合企业家与 CVC 关注。</w:t>
      </w:r>
    </w:p>
    <w:p>
      <w:pPr>
        <w:pStyle w:val="ListBullet"/>
        <w:spacing w:after="60"/>
      </w:pPr>
      <w:r>
        <w:rPr>
          <w:rFonts w:ascii="微软雅黑" w:hAnsi="微软雅黑" w:eastAsia="微软雅黑"/>
          <w:color w:val="222A33"/>
          <w:sz w:val="22"/>
        </w:rPr>
        <w:t>看什么：智慧工厂参观（以企业接待安排为准）、新能源制造与数字化产线讲解。</w:t>
      </w:r>
    </w:p>
    <w:p>
      <w:pPr>
        <w:pStyle w:val="ListBullet"/>
        <w:spacing w:after="60"/>
      </w:pPr>
      <w:r>
        <w:rPr>
          <w:rFonts w:ascii="微软雅黑" w:hAnsi="微软雅黑" w:eastAsia="微软雅黑"/>
          <w:color w:val="222A33"/>
          <w:sz w:val="22"/>
        </w:rPr>
        <w:t>现场互动：汽车产业生态对话：零部件配套、智能座舱、机器人与轻量化材料协同。</w:t>
      </w:r>
    </w:p>
    <w:p>
      <w:pPr>
        <w:pStyle w:val="ListBullet"/>
        <w:spacing w:after="60"/>
      </w:pPr>
      <w:r>
        <w:rPr>
          <w:rFonts w:ascii="微软雅黑" w:hAnsi="微软雅黑" w:eastAsia="微软雅黑"/>
          <w:color w:val="222A33"/>
          <w:sz w:val="22"/>
        </w:rPr>
        <w:t>与沪方链接：匹配对象：汽车电子、机器人、新材料、CVC / 产业资本；形成配套合作或战略投资线索。</w:t>
      </w:r>
    </w:p>
    <w:p>
      <w:pPr>
        <w:spacing w:after="80" w:before="0"/>
      </w:pPr>
      <w:r>
        <w:rPr>
          <w:rFonts w:ascii="微软雅黑" w:hAnsi="微软雅黑" w:eastAsia="微软雅黑"/>
          <w:b/>
          <w:color w:val="0B3D5C"/>
          <w:sz w:val="24"/>
        </w:rPr>
        <w:t>【推荐加深】拓普集团 / 东方电缆（二选一深访）</w:t>
      </w:r>
    </w:p>
    <w:p>
      <w:pPr>
        <w:pStyle w:val="ListBullet"/>
        <w:spacing w:after="60"/>
      </w:pPr>
      <w:r>
        <w:rPr>
          <w:rFonts w:ascii="微软雅黑" w:hAnsi="微软雅黑" w:eastAsia="微软雅黑"/>
          <w:color w:val="222A33"/>
          <w:sz w:val="22"/>
        </w:rPr>
        <w:t>为何值得去：拓普：汽车零部件与人形机器人赛道代表性企业；东方电缆：海缆与海洋脐带缆领军企业，贴合临港与海洋经济。</w:t>
      </w:r>
    </w:p>
    <w:p>
      <w:pPr>
        <w:pStyle w:val="ListBullet"/>
        <w:spacing w:after="60"/>
      </w:pPr>
      <w:r>
        <w:rPr>
          <w:rFonts w:ascii="微软雅黑" w:hAnsi="微软雅黑" w:eastAsia="微软雅黑"/>
          <w:color w:val="222A33"/>
          <w:sz w:val="22"/>
        </w:rPr>
        <w:t>看什么：研发与制造现场、核心产品与出海布局介绍。</w:t>
      </w:r>
    </w:p>
    <w:p>
      <w:pPr>
        <w:pStyle w:val="ListBullet"/>
        <w:spacing w:after="60"/>
      </w:pPr>
      <w:r>
        <w:rPr>
          <w:rFonts w:ascii="微软雅黑" w:hAnsi="微软雅黑" w:eastAsia="微软雅黑"/>
          <w:color w:val="222A33"/>
          <w:sz w:val="22"/>
        </w:rPr>
        <w:t>现场互动：硬科技深度对谈：技术合作、场景验证、股权 / 产业投资可能性。</w:t>
      </w:r>
    </w:p>
    <w:p>
      <w:pPr>
        <w:pStyle w:val="ListBullet"/>
        <w:spacing w:after="60"/>
      </w:pPr>
      <w:r>
        <w:rPr>
          <w:rFonts w:ascii="微软雅黑" w:hAnsi="微软雅黑" w:eastAsia="微软雅黑"/>
          <w:color w:val="222A33"/>
          <w:sz w:val="22"/>
        </w:rPr>
        <w:t>与沪方链接：匹配对象：硬科技创业企业、PE/VC、产业资本；适合作为两日行“深访一企”环节。</w:t>
      </w:r>
    </w:p>
    <w:p>
      <w:pPr>
        <w:spacing w:after="80" w:before="0"/>
      </w:pPr>
      <w:r>
        <w:rPr>
          <w:rFonts w:ascii="微软雅黑" w:hAnsi="微软雅黑" w:eastAsia="微软雅黑"/>
          <w:b/>
          <w:color w:val="0B3D5C"/>
          <w:sz w:val="24"/>
        </w:rPr>
        <w:t>【核心必看】开发区科技创业园 2.0 / 甬江科创区北仑片区</w:t>
      </w:r>
    </w:p>
    <w:p>
      <w:pPr>
        <w:pStyle w:val="ListBullet"/>
        <w:spacing w:after="60"/>
      </w:pPr>
      <w:r>
        <w:rPr>
          <w:rFonts w:ascii="微软雅黑" w:hAnsi="微软雅黑" w:eastAsia="微软雅黑"/>
          <w:color w:val="222A33"/>
          <w:sz w:val="22"/>
        </w:rPr>
        <w:t>为何值得去：北仑孵化加速与总部经济的关键载体，聚焦新材料、工业互联网、智能制造与生命健康等方向，直接服务产业导入。</w:t>
      </w:r>
    </w:p>
    <w:p>
      <w:pPr>
        <w:pStyle w:val="ListBullet"/>
        <w:spacing w:after="60"/>
      </w:pPr>
      <w:r>
        <w:rPr>
          <w:rFonts w:ascii="微软雅黑" w:hAnsi="微软雅黑" w:eastAsia="微软雅黑"/>
          <w:color w:val="222A33"/>
          <w:sz w:val="22"/>
        </w:rPr>
        <w:t>看什么：孵化载体、可用空间、政策与服务包、在孵项目抽样交流。</w:t>
      </w:r>
    </w:p>
    <w:p>
      <w:pPr>
        <w:pStyle w:val="ListBullet"/>
        <w:spacing w:after="60"/>
      </w:pPr>
      <w:r>
        <w:rPr>
          <w:rFonts w:ascii="微软雅黑" w:hAnsi="微软雅黑" w:eastAsia="微软雅黑"/>
          <w:color w:val="222A33"/>
          <w:sz w:val="22"/>
        </w:rPr>
        <w:t>现场互动：落地工作坊：入驻条件、科创飞地、人才与资金支持一对一答疑。</w:t>
      </w:r>
    </w:p>
    <w:p>
      <w:pPr>
        <w:pStyle w:val="ListBullet"/>
        <w:spacing w:after="60"/>
      </w:pPr>
      <w:r>
        <w:rPr>
          <w:rFonts w:ascii="微软雅黑" w:hAnsi="微软雅黑" w:eastAsia="微软雅黑"/>
          <w:color w:val="222A33"/>
          <w:sz w:val="22"/>
        </w:rPr>
        <w:t>与沪方链接：匹配对象：有外溢落地意向的上海科创企业与校友创业项目；输出《落地意向登记表》。</w:t>
      </w:r>
    </w:p>
    <w:p>
      <w:pPr>
        <w:spacing w:before="200" w:after="160"/>
      </w:pPr>
      <w:r>
        <w:rPr>
          <w:rFonts w:ascii="微软雅黑" w:hAnsi="微软雅黑" w:eastAsia="微软雅黑"/>
          <w:b/>
          <w:color w:val="0B3D5C"/>
          <w:sz w:val="27"/>
        </w:rPr>
        <w:t>5.4 互动链接设计（把参访变成沟通与转化）</w:t>
      </w:r>
    </w:p>
    <w:p>
      <w:pPr>
        <w:spacing w:after="40" w:before="0"/>
      </w:pPr>
      <w:r>
        <w:rPr>
          <w:rFonts w:ascii="微软雅黑" w:hAnsi="微软雅黑" w:eastAsia="微软雅黑"/>
          <w:b/>
          <w:color w:val="1A6B6B"/>
          <w:sz w:val="24"/>
        </w:rPr>
        <w:t>链接一 · 港航供应链圆桌</w:t>
      </w:r>
    </w:p>
    <w:p>
      <w:pPr>
        <w:spacing w:after="80" w:before="0"/>
      </w:pPr>
      <w:r>
        <w:rPr>
          <w:rFonts w:ascii="微软雅黑" w:hAnsi="微软雅黑" w:eastAsia="微软雅黑"/>
          <w:b w:val="0"/>
          <w:color w:val="5A636E"/>
          <w:sz w:val="22"/>
        </w:rPr>
        <w:t>嵌入节点：穿山港区 / 航运展示厅之后　｜　形式：45–60 分钟闭门圆桌</w:t>
      </w:r>
    </w:p>
    <w:p>
      <w:pPr>
        <w:pStyle w:val="ListBullet"/>
        <w:spacing w:after="60"/>
      </w:pPr>
      <w:r>
        <w:rPr>
          <w:rFonts w:ascii="微软雅黑" w:hAnsi="微软雅黑" w:eastAsia="微软雅黑"/>
          <w:color w:val="222A33"/>
          <w:sz w:val="22"/>
        </w:rPr>
        <w:t>港方介绍航线、海铁联运与企业用港服务包</w:t>
      </w:r>
    </w:p>
    <w:p>
      <w:pPr>
        <w:pStyle w:val="ListBullet"/>
        <w:spacing w:after="60"/>
      </w:pPr>
      <w:r>
        <w:rPr>
          <w:rFonts w:ascii="微软雅黑" w:hAnsi="微软雅黑" w:eastAsia="微软雅黑"/>
          <w:color w:val="222A33"/>
          <w:sz w:val="22"/>
        </w:rPr>
        <w:t>上海企业家提出外贸物流、仓配、时效与数字化痛点</w:t>
      </w:r>
    </w:p>
    <w:p>
      <w:pPr>
        <w:pStyle w:val="ListBullet"/>
        <w:spacing w:after="60"/>
      </w:pPr>
      <w:r>
        <w:rPr>
          <w:rFonts w:ascii="微软雅黑" w:hAnsi="微软雅黑" w:eastAsia="微软雅黑"/>
          <w:color w:val="222A33"/>
          <w:sz w:val="22"/>
        </w:rPr>
        <w:t>形成 3–5 条可跟进的供应链优化或合作线索</w:t>
      </w:r>
    </w:p>
    <w:p>
      <w:pPr>
        <w:spacing w:after="40" w:before="0"/>
      </w:pPr>
      <w:r>
        <w:rPr>
          <w:rFonts w:ascii="微软雅黑" w:hAnsi="微软雅黑" w:eastAsia="微软雅黑"/>
          <w:b/>
          <w:color w:val="1A6B6B"/>
          <w:sz w:val="24"/>
        </w:rPr>
        <w:t>链接二 · 智能制造供需对接</w:t>
      </w:r>
    </w:p>
    <w:p>
      <w:pPr>
        <w:spacing w:after="80" w:before="0"/>
      </w:pPr>
      <w:r>
        <w:rPr>
          <w:rFonts w:ascii="微软雅黑" w:hAnsi="微软雅黑" w:eastAsia="微软雅黑"/>
          <w:b w:val="0"/>
          <w:color w:val="5A636E"/>
          <w:sz w:val="22"/>
        </w:rPr>
        <w:t>嵌入节点：海天基地或精密产业园现场　｜　形式：现场讲解 + 分组座谈</w:t>
      </w:r>
    </w:p>
    <w:p>
      <w:pPr>
        <w:pStyle w:val="ListBullet"/>
        <w:spacing w:after="60"/>
      </w:pPr>
      <w:r>
        <w:rPr>
          <w:rFonts w:ascii="微软雅黑" w:hAnsi="微软雅黑" w:eastAsia="微软雅黑"/>
          <w:color w:val="222A33"/>
          <w:sz w:val="22"/>
        </w:rPr>
        <w:t>当地龙头介绍产业链配套与合作接口</w:t>
      </w:r>
    </w:p>
    <w:p>
      <w:pPr>
        <w:pStyle w:val="ListBullet"/>
        <w:spacing w:after="60"/>
      </w:pPr>
      <w:r>
        <w:rPr>
          <w:rFonts w:ascii="微软雅黑" w:hAnsi="微软雅黑" w:eastAsia="微软雅黑"/>
          <w:color w:val="222A33"/>
          <w:sz w:val="22"/>
        </w:rPr>
        <w:t>上海侧企业按“采购 / 联合研发 / 产能落地”三类报需求</w:t>
      </w:r>
    </w:p>
    <w:p>
      <w:pPr>
        <w:pStyle w:val="ListBullet"/>
        <w:spacing w:after="60"/>
      </w:pPr>
      <w:r>
        <w:rPr>
          <w:rFonts w:ascii="微软雅黑" w:hAnsi="微软雅黑" w:eastAsia="微软雅黑"/>
          <w:color w:val="222A33"/>
          <w:sz w:val="22"/>
        </w:rPr>
        <w:t>投促局记录对接意向，会后一对一跟进</w:t>
      </w:r>
    </w:p>
    <w:p>
      <w:pPr>
        <w:spacing w:after="40" w:before="0"/>
      </w:pPr>
      <w:r>
        <w:rPr>
          <w:rFonts w:ascii="微软雅黑" w:hAnsi="微软雅黑" w:eastAsia="微软雅黑"/>
          <w:b/>
          <w:color w:val="1A6B6B"/>
          <w:sz w:val="24"/>
        </w:rPr>
        <w:t>链接三 · 科创落地工作坊</w:t>
      </w:r>
    </w:p>
    <w:p>
      <w:pPr>
        <w:spacing w:after="80" w:before="0"/>
      </w:pPr>
      <w:r>
        <w:rPr>
          <w:rFonts w:ascii="微软雅黑" w:hAnsi="微软雅黑" w:eastAsia="微软雅黑"/>
          <w:b w:val="0"/>
          <w:color w:val="5A636E"/>
          <w:sz w:val="22"/>
        </w:rPr>
        <w:t>嵌入节点：科技创业园 / 甬江科创区北仑片区　｜　形式：政策宣讲 + 意向登记</w:t>
      </w:r>
    </w:p>
    <w:p>
      <w:pPr>
        <w:pStyle w:val="ListBullet"/>
        <w:spacing w:after="60"/>
      </w:pPr>
      <w:r>
        <w:rPr>
          <w:rFonts w:ascii="微软雅黑" w:hAnsi="微软雅黑" w:eastAsia="微软雅黑"/>
          <w:color w:val="222A33"/>
          <w:sz w:val="22"/>
        </w:rPr>
        <w:t>载体、租金 / 补贴、人才与基金政策简介</w:t>
      </w:r>
    </w:p>
    <w:p>
      <w:pPr>
        <w:pStyle w:val="ListBullet"/>
        <w:spacing w:after="60"/>
      </w:pPr>
      <w:r>
        <w:rPr>
          <w:rFonts w:ascii="微软雅黑" w:hAnsi="微软雅黑" w:eastAsia="微软雅黑"/>
          <w:color w:val="222A33"/>
          <w:sz w:val="22"/>
        </w:rPr>
        <w:t>有意向企业填写落地需求（空间、用工、资金、配套）</w:t>
      </w:r>
    </w:p>
    <w:p>
      <w:pPr>
        <w:pStyle w:val="ListBullet"/>
        <w:spacing w:after="60"/>
      </w:pPr>
      <w:r>
        <w:rPr>
          <w:rFonts w:ascii="微软雅黑" w:hAnsi="微软雅黑" w:eastAsia="微软雅黑"/>
          <w:color w:val="222A33"/>
          <w:sz w:val="22"/>
        </w:rPr>
        <w:t>约定回访或线上复盘时间</w:t>
      </w:r>
    </w:p>
    <w:p>
      <w:pPr>
        <w:spacing w:after="40" w:before="0"/>
      </w:pPr>
      <w:r>
        <w:rPr>
          <w:rFonts w:ascii="微软雅黑" w:hAnsi="微软雅黑" w:eastAsia="微软雅黑"/>
          <w:b/>
          <w:color w:val="1A6B6B"/>
          <w:sz w:val="24"/>
        </w:rPr>
        <w:t>链接四 · PE/VC · CVC 闭门投洽</w:t>
      </w:r>
    </w:p>
    <w:p>
      <w:pPr>
        <w:spacing w:after="80" w:before="0"/>
      </w:pPr>
      <w:r>
        <w:rPr>
          <w:rFonts w:ascii="微软雅黑" w:hAnsi="微软雅黑" w:eastAsia="微软雅黑"/>
          <w:b w:val="0"/>
          <w:color w:val="5A636E"/>
          <w:sz w:val="22"/>
        </w:rPr>
        <w:t>嵌入节点：第二日下午（推荐两日行）　｜　形式：路演或 1v1 对接</w:t>
      </w:r>
    </w:p>
    <w:p>
      <w:pPr>
        <w:pStyle w:val="ListBullet"/>
        <w:spacing w:after="60"/>
      </w:pPr>
      <w:r>
        <w:rPr>
          <w:rFonts w:ascii="微软雅黑" w:hAnsi="微软雅黑" w:eastAsia="微软雅黑"/>
          <w:color w:val="222A33"/>
          <w:sz w:val="22"/>
        </w:rPr>
        <w:t>当地优质项目 / 企业路演（3–5 个）</w:t>
      </w:r>
    </w:p>
    <w:p>
      <w:pPr>
        <w:pStyle w:val="ListBullet"/>
        <w:spacing w:after="60"/>
      </w:pPr>
      <w:r>
        <w:rPr>
          <w:rFonts w:ascii="微软雅黑" w:hAnsi="微软雅黑" w:eastAsia="微软雅黑"/>
          <w:color w:val="222A33"/>
          <w:sz w:val="22"/>
        </w:rPr>
        <w:t>上海投资机构与产业资本反馈关注点</w:t>
      </w:r>
    </w:p>
    <w:p>
      <w:pPr>
        <w:pStyle w:val="ListBullet"/>
        <w:spacing w:after="60"/>
      </w:pPr>
      <w:r>
        <w:rPr>
          <w:rFonts w:ascii="微软雅黑" w:hAnsi="微软雅黑" w:eastAsia="微软雅黑"/>
          <w:color w:val="222A33"/>
          <w:sz w:val="22"/>
        </w:rPr>
        <w:t>建立项目信息互通与后续尽调通道</w:t>
      </w:r>
    </w:p>
    <w:p>
      <w:r>
        <w:br w:type="page"/>
      </w:r>
    </w:p>
    <w:p>
      <w:pPr>
        <w:spacing w:before="280" w:after="160"/>
      </w:pPr>
      <w:r>
        <w:rPr>
          <w:rFonts w:ascii="微软雅黑" w:hAnsi="微软雅黑" w:eastAsia="微软雅黑"/>
          <w:b/>
          <w:color w:val="0B3D5C"/>
          <w:sz w:val="32"/>
        </w:rPr>
        <w:t>六、时间安排建议</w:t>
      </w:r>
    </w:p>
    <w:p>
      <w:pPr>
        <w:spacing w:after="160" w:before="0"/>
      </w:pPr>
      <w:r>
        <w:rPr>
          <w:rFonts w:ascii="微软雅黑" w:hAnsi="微软雅黑" w:eastAsia="微软雅黑"/>
          <w:b/>
          <w:color w:val="0B3D5C"/>
          <w:sz w:val="24"/>
        </w:rPr>
        <w:t>建议时间窗口：2026年8月至10月（择一两日）</w:t>
      </w:r>
    </w:p>
    <w:p>
      <w:pPr>
        <w:spacing w:after="200" w:before="0"/>
      </w:pPr>
      <w:r>
        <w:rPr>
          <w:rFonts w:ascii="微软雅黑" w:hAnsi="微软雅黑" w:eastAsia="微软雅黑"/>
          <w:b w:val="0"/>
          <w:color w:val="5A636E"/>
          <w:sz w:val="22"/>
        </w:rPr>
        <w:t>最终日期由组织方与接待单位协商确定，建议提前 3–4 周锁定；港口与工厂参访需预留审批时间。</w:t>
      </w:r>
    </w:p>
    <w:p>
      <w:pPr>
        <w:spacing w:before="200" w:after="160"/>
      </w:pPr>
      <w:r>
        <w:rPr>
          <w:rFonts w:ascii="微软雅黑" w:hAnsi="微软雅黑" w:eastAsia="微软雅黑"/>
          <w:b/>
          <w:color w:val="0B3D5C"/>
          <w:sz w:val="27"/>
        </w:rPr>
        <w:t>6.1 行程深度选项</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0B3D5C"/>
          </w:tcPr>
          <w:p>
            <w:r>
              <w:rPr>
                <w:rFonts w:ascii="微软雅黑" w:hAnsi="微软雅黑" w:eastAsia="微软雅黑"/>
                <w:b/>
                <w:color w:val="FFFFFF"/>
                <w:sz w:val="21"/>
              </w:rPr>
              <w:t>方案</w:t>
            </w:r>
          </w:p>
        </w:tc>
        <w:tc>
          <w:tcPr>
            <w:tcW w:type="dxa" w:w="3097"/>
            <w:shd w:val="clear" w:fill="0B3D5C"/>
          </w:tcPr>
          <w:p>
            <w:r>
              <w:rPr>
                <w:rFonts w:ascii="微软雅黑" w:hAnsi="微软雅黑" w:eastAsia="微软雅黑"/>
                <w:b/>
                <w:color w:val="FFFFFF"/>
                <w:sz w:val="21"/>
              </w:rPr>
              <w:t>时长</w:t>
            </w:r>
          </w:p>
        </w:tc>
        <w:tc>
          <w:tcPr>
            <w:tcW w:type="dxa" w:w="3097"/>
            <w:shd w:val="clear" w:fill="0B3D5C"/>
          </w:tcPr>
          <w:p>
            <w:r>
              <w:rPr>
                <w:rFonts w:ascii="微软雅黑" w:hAnsi="微软雅黑" w:eastAsia="微软雅黑"/>
                <w:b/>
                <w:color w:val="FFFFFF"/>
                <w:sz w:val="21"/>
              </w:rPr>
              <w:t>适用情形</w:t>
            </w:r>
          </w:p>
        </w:tc>
      </w:tr>
      <w:tr>
        <w:tc>
          <w:tcPr>
            <w:tcW w:type="dxa" w:w="3097"/>
          </w:tcPr>
          <w:p>
            <w:r>
              <w:rPr>
                <w:rFonts w:ascii="微软雅黑" w:hAnsi="微软雅黑" w:eastAsia="微软雅黑"/>
                <w:b w:val="0"/>
                <w:color w:val="222A33"/>
                <w:sz w:val="21"/>
              </w:rPr>
              <w:t>方案 A · 一日精华行</w:t>
            </w:r>
          </w:p>
        </w:tc>
        <w:tc>
          <w:tcPr>
            <w:tcW w:type="dxa" w:w="3097"/>
          </w:tcPr>
          <w:p>
            <w:r>
              <w:rPr>
                <w:rFonts w:ascii="微软雅黑" w:hAnsi="微软雅黑" w:eastAsia="微软雅黑"/>
                <w:b w:val="0"/>
                <w:color w:val="222A33"/>
                <w:sz w:val="21"/>
              </w:rPr>
              <w:t>工作日一天</w:t>
            </w:r>
          </w:p>
        </w:tc>
        <w:tc>
          <w:tcPr>
            <w:tcW w:type="dxa" w:w="3097"/>
          </w:tcPr>
          <w:p>
            <w:r>
              <w:rPr>
                <w:rFonts w:ascii="微软雅黑" w:hAnsi="微软雅黑" w:eastAsia="微软雅黑"/>
                <w:b w:val="0"/>
                <w:color w:val="222A33"/>
                <w:sz w:val="21"/>
              </w:rPr>
              <w:t>港口核心点 + 一家智造标杆 + 政策座谈</w:t>
            </w:r>
          </w:p>
        </w:tc>
      </w:tr>
      <w:tr>
        <w:tc>
          <w:tcPr>
            <w:tcW w:type="dxa" w:w="3097"/>
          </w:tcPr>
          <w:p>
            <w:r>
              <w:rPr>
                <w:rFonts w:ascii="微软雅黑" w:hAnsi="微软雅黑" w:eastAsia="微软雅黑"/>
                <w:b w:val="0"/>
                <w:color w:val="222A33"/>
                <w:sz w:val="21"/>
              </w:rPr>
              <w:t>方案 B · 两日深度行（推荐）</w:t>
            </w:r>
          </w:p>
        </w:tc>
        <w:tc>
          <w:tcPr>
            <w:tcW w:type="dxa" w:w="3097"/>
          </w:tcPr>
          <w:p>
            <w:r>
              <w:rPr>
                <w:rFonts w:ascii="微软雅黑" w:hAnsi="微软雅黑" w:eastAsia="微软雅黑"/>
                <w:b w:val="0"/>
                <w:color w:val="222A33"/>
                <w:sz w:val="21"/>
              </w:rPr>
              <w:t>连续两日</w:t>
            </w:r>
          </w:p>
        </w:tc>
        <w:tc>
          <w:tcPr>
            <w:tcW w:type="dxa" w:w="3097"/>
          </w:tcPr>
          <w:p>
            <w:r>
              <w:rPr>
                <w:rFonts w:ascii="微软雅黑" w:hAnsi="微软雅黑" w:eastAsia="微软雅黑"/>
                <w:b w:val="0"/>
                <w:color w:val="222A33"/>
                <w:sz w:val="21"/>
              </w:rPr>
              <w:t>港口双点位 + 企业深访 + 孵化落地 + 投洽</w:t>
            </w:r>
          </w:p>
        </w:tc>
      </w:tr>
    </w:tbl>
    <w:p>
      <w:pPr>
        <w:spacing w:after="120" w:before="0"/>
      </w:pPr>
      <w:r>
        <w:rPr>
          <w:rFonts w:ascii="微软雅黑" w:hAnsi="微软雅黑" w:eastAsia="微软雅黑"/>
          <w:b w:val="0"/>
          <w:sz w:val="12"/>
        </w:rPr>
      </w:r>
    </w:p>
    <w:p>
      <w:pPr>
        <w:spacing w:before="200" w:after="160"/>
      </w:pPr>
      <w:r>
        <w:rPr>
          <w:rFonts w:ascii="微软雅黑" w:hAnsi="微软雅黑" w:eastAsia="微软雅黑"/>
          <w:b/>
          <w:color w:val="0B3D5C"/>
          <w:sz w:val="27"/>
        </w:rPr>
        <w:t>6.2 建议窗口</w:t>
      </w:r>
    </w:p>
    <w:p>
      <w:pPr>
        <w:pStyle w:val="ListBullet"/>
        <w:spacing w:after="60"/>
      </w:pPr>
      <w:r>
        <w:rPr>
          <w:rFonts w:ascii="微软雅黑" w:hAnsi="微软雅黑" w:eastAsia="微软雅黑"/>
          <w:color w:val="222A33"/>
          <w:sz w:val="22"/>
        </w:rPr>
        <w:t>8月下旬：暑期收尾、企业负责人相对灵活</w:t>
      </w:r>
    </w:p>
    <w:p>
      <w:pPr>
        <w:pStyle w:val="ListBullet"/>
        <w:spacing w:after="60"/>
      </w:pPr>
      <w:r>
        <w:rPr>
          <w:rFonts w:ascii="微软雅黑" w:hAnsi="微软雅黑" w:eastAsia="微软雅黑"/>
          <w:color w:val="222A33"/>
          <w:sz w:val="22"/>
        </w:rPr>
        <w:t>9月中下旬：避开开学高峰后的稳定窗口</w:t>
      </w:r>
    </w:p>
    <w:p>
      <w:pPr>
        <w:pStyle w:val="ListBullet"/>
        <w:spacing w:after="60"/>
      </w:pPr>
      <w:r>
        <w:rPr>
          <w:rFonts w:ascii="微软雅黑" w:hAnsi="微软雅黑" w:eastAsia="微软雅黑"/>
          <w:color w:val="222A33"/>
          <w:sz w:val="22"/>
        </w:rPr>
        <w:t>10月中上旬：国庆后、适合深度对接与回访安排</w:t>
      </w:r>
    </w:p>
    <w:p>
      <w:pPr>
        <w:spacing w:before="280" w:after="160"/>
      </w:pPr>
      <w:r>
        <w:rPr>
          <w:rFonts w:ascii="微软雅黑" w:hAnsi="微软雅黑" w:eastAsia="微软雅黑"/>
          <w:b/>
          <w:color w:val="0B3D5C"/>
          <w:sz w:val="32"/>
        </w:rPr>
        <w:t>七、建议行程方案（已嵌入精选点位与互动链接）</w:t>
      </w:r>
    </w:p>
    <w:p>
      <w:pPr>
        <w:spacing w:after="200" w:before="0"/>
        <w:ind w:firstLine="440"/>
      </w:pPr>
      <w:r>
        <w:rPr>
          <w:rFonts w:ascii="微软雅黑" w:hAnsi="微软雅黑" w:eastAsia="微软雅黑"/>
          <w:b w:val="0"/>
          <w:sz w:val="23"/>
        </w:rPr>
        <w:t>以下行程已嵌入第五节筛选点位与四大互动链接，具体开放范围可由双方按接待条件微调。推荐采用「方案 B · 两日深度行」。</w:t>
      </w:r>
    </w:p>
    <w:p>
      <w:pPr>
        <w:spacing w:before="200" w:after="160"/>
      </w:pPr>
      <w:r>
        <w:rPr>
          <w:rFonts w:ascii="微软雅黑" w:hAnsi="微软雅黑" w:eastAsia="微软雅黑"/>
          <w:b/>
          <w:color w:val="0B3D5C"/>
          <w:sz w:val="27"/>
        </w:rPr>
        <w:t>7.1 第一日（精华行程，一日行至此结束）</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0B3D5C"/>
          </w:tcPr>
          <w:p>
            <w:r>
              <w:rPr>
                <w:rFonts w:ascii="微软雅黑" w:hAnsi="微软雅黑" w:eastAsia="微软雅黑"/>
                <w:b/>
                <w:color w:val="FFFFFF"/>
                <w:sz w:val="21"/>
              </w:rPr>
              <w:t>时间</w:t>
            </w:r>
          </w:p>
        </w:tc>
        <w:tc>
          <w:tcPr>
            <w:tcW w:type="dxa" w:w="3097"/>
            <w:shd w:val="clear" w:fill="0B3D5C"/>
          </w:tcPr>
          <w:p>
            <w:r>
              <w:rPr>
                <w:rFonts w:ascii="微软雅黑" w:hAnsi="微软雅黑" w:eastAsia="微软雅黑"/>
                <w:b/>
                <w:color w:val="FFFFFF"/>
                <w:sz w:val="21"/>
              </w:rPr>
              <w:t>事项</w:t>
            </w:r>
          </w:p>
        </w:tc>
        <w:tc>
          <w:tcPr>
            <w:tcW w:type="dxa" w:w="3097"/>
            <w:shd w:val="clear" w:fill="0B3D5C"/>
          </w:tcPr>
          <w:p>
            <w:r>
              <w:rPr>
                <w:rFonts w:ascii="微软雅黑" w:hAnsi="微软雅黑" w:eastAsia="微软雅黑"/>
                <w:b/>
                <w:color w:val="FFFFFF"/>
                <w:sz w:val="21"/>
              </w:rPr>
              <w:t>说明</w:t>
            </w:r>
          </w:p>
        </w:tc>
      </w:tr>
      <w:tr>
        <w:tc>
          <w:tcPr>
            <w:tcW w:type="dxa" w:w="3097"/>
          </w:tcPr>
          <w:p>
            <w:r>
              <w:rPr>
                <w:rFonts w:ascii="微软雅黑" w:hAnsi="微软雅黑" w:eastAsia="微软雅黑"/>
                <w:b w:val="0"/>
                <w:color w:val="222A33"/>
                <w:sz w:val="21"/>
              </w:rPr>
              <w:t>08:30–10:30</w:t>
            </w:r>
          </w:p>
        </w:tc>
        <w:tc>
          <w:tcPr>
            <w:tcW w:type="dxa" w:w="3097"/>
          </w:tcPr>
          <w:p>
            <w:r>
              <w:rPr>
                <w:rFonts w:ascii="微软雅黑" w:hAnsi="微软雅黑" w:eastAsia="微软雅黑"/>
                <w:b w:val="0"/>
                <w:color w:val="222A33"/>
                <w:sz w:val="21"/>
              </w:rPr>
              <w:t>上海出发 → 宁波经开区（北仑）</w:t>
            </w:r>
          </w:p>
        </w:tc>
        <w:tc>
          <w:tcPr>
            <w:tcW w:type="dxa" w:w="3097"/>
          </w:tcPr>
          <w:p>
            <w:r>
              <w:rPr>
                <w:rFonts w:ascii="微软雅黑" w:hAnsi="微软雅黑" w:eastAsia="微软雅黑"/>
                <w:b w:val="0"/>
                <w:color w:val="222A33"/>
                <w:sz w:val="21"/>
              </w:rPr>
              <w:t>高铁 / 大巴，统一集合</w:t>
            </w:r>
          </w:p>
        </w:tc>
      </w:tr>
      <w:tr>
        <w:tc>
          <w:tcPr>
            <w:tcW w:type="dxa" w:w="3097"/>
          </w:tcPr>
          <w:p>
            <w:r>
              <w:rPr>
                <w:rFonts w:ascii="微软雅黑" w:hAnsi="微软雅黑" w:eastAsia="微软雅黑"/>
                <w:b w:val="0"/>
                <w:color w:val="222A33"/>
                <w:sz w:val="21"/>
              </w:rPr>
              <w:t>10:30–11:00</w:t>
            </w:r>
          </w:p>
        </w:tc>
        <w:tc>
          <w:tcPr>
            <w:tcW w:type="dxa" w:w="3097"/>
          </w:tcPr>
          <w:p>
            <w:r>
              <w:rPr>
                <w:rFonts w:ascii="微软雅黑" w:hAnsi="微软雅黑" w:eastAsia="微软雅黑"/>
                <w:b w:val="0"/>
                <w:color w:val="222A33"/>
                <w:sz w:val="21"/>
              </w:rPr>
              <w:t>抵达 · 简短欢迎</w:t>
            </w:r>
          </w:p>
        </w:tc>
        <w:tc>
          <w:tcPr>
            <w:tcW w:type="dxa" w:w="3097"/>
          </w:tcPr>
          <w:p>
            <w:r>
              <w:rPr>
                <w:rFonts w:ascii="微软雅黑" w:hAnsi="微软雅黑" w:eastAsia="微软雅黑"/>
                <w:b w:val="0"/>
                <w:color w:val="222A33"/>
                <w:sz w:val="21"/>
              </w:rPr>
              <w:t>投促局致辞，发放手册与精选点位导览</w:t>
            </w:r>
          </w:p>
        </w:tc>
      </w:tr>
      <w:tr>
        <w:tc>
          <w:tcPr>
            <w:tcW w:type="dxa" w:w="3097"/>
          </w:tcPr>
          <w:p>
            <w:r>
              <w:rPr>
                <w:rFonts w:ascii="微软雅黑" w:hAnsi="微软雅黑" w:eastAsia="微软雅黑"/>
                <w:b w:val="0"/>
                <w:color w:val="222A33"/>
                <w:sz w:val="21"/>
              </w:rPr>
              <w:t>11:00–12:00</w:t>
            </w:r>
          </w:p>
        </w:tc>
        <w:tc>
          <w:tcPr>
            <w:tcW w:type="dxa" w:w="3097"/>
          </w:tcPr>
          <w:p>
            <w:r>
              <w:rPr>
                <w:rFonts w:ascii="微软雅黑" w:hAnsi="微软雅黑" w:eastAsia="微软雅黑"/>
                <w:b w:val="0"/>
                <w:color w:val="222A33"/>
                <w:sz w:val="21"/>
              </w:rPr>
              <w:t>开发区概况与招商政策介绍</w:t>
            </w:r>
          </w:p>
        </w:tc>
        <w:tc>
          <w:tcPr>
            <w:tcW w:type="dxa" w:w="3097"/>
          </w:tcPr>
          <w:p>
            <w:r>
              <w:rPr>
                <w:rFonts w:ascii="微软雅黑" w:hAnsi="微软雅黑" w:eastAsia="微软雅黑"/>
                <w:b w:val="0"/>
                <w:color w:val="222A33"/>
                <w:sz w:val="21"/>
              </w:rPr>
              <w:t>主导产业、甬江科创区、载体与政策</w:t>
            </w:r>
          </w:p>
        </w:tc>
      </w:tr>
      <w:tr>
        <w:tc>
          <w:tcPr>
            <w:tcW w:type="dxa" w:w="3097"/>
          </w:tcPr>
          <w:p>
            <w:r>
              <w:rPr>
                <w:rFonts w:ascii="微软雅黑" w:hAnsi="微软雅黑" w:eastAsia="微软雅黑"/>
                <w:b w:val="0"/>
                <w:color w:val="222A33"/>
                <w:sz w:val="21"/>
              </w:rPr>
              <w:t>12:00–13:20</w:t>
            </w:r>
          </w:p>
        </w:tc>
        <w:tc>
          <w:tcPr>
            <w:tcW w:type="dxa" w:w="3097"/>
          </w:tcPr>
          <w:p>
            <w:r>
              <w:rPr>
                <w:rFonts w:ascii="微软雅黑" w:hAnsi="微软雅黑" w:eastAsia="微软雅黑"/>
                <w:b w:val="0"/>
                <w:color w:val="222A33"/>
                <w:sz w:val="21"/>
              </w:rPr>
              <w:t>工作午餐</w:t>
            </w:r>
          </w:p>
        </w:tc>
        <w:tc>
          <w:tcPr>
            <w:tcW w:type="dxa" w:w="3097"/>
          </w:tcPr>
          <w:p>
            <w:r>
              <w:rPr>
                <w:rFonts w:ascii="微软雅黑" w:hAnsi="微软雅黑" w:eastAsia="微软雅黑"/>
                <w:b w:val="0"/>
                <w:color w:val="222A33"/>
                <w:sz w:val="21"/>
              </w:rPr>
              <w:t>与投促干部、企业代表破冰交流</w:t>
            </w:r>
          </w:p>
        </w:tc>
      </w:tr>
      <w:tr>
        <w:tc>
          <w:tcPr>
            <w:tcW w:type="dxa" w:w="3097"/>
          </w:tcPr>
          <w:p>
            <w:r>
              <w:rPr>
                <w:rFonts w:ascii="微软雅黑" w:hAnsi="微软雅黑" w:eastAsia="微软雅黑"/>
                <w:b w:val="0"/>
                <w:color w:val="222A33"/>
                <w:sz w:val="21"/>
              </w:rPr>
              <w:t>13:30–15:00</w:t>
            </w:r>
          </w:p>
        </w:tc>
        <w:tc>
          <w:tcPr>
            <w:tcW w:type="dxa" w:w="3097"/>
          </w:tcPr>
          <w:p>
            <w:r>
              <w:rPr>
                <w:rFonts w:ascii="微软雅黑" w:hAnsi="微软雅黑" w:eastAsia="微软雅黑"/>
                <w:b w:val="0"/>
                <w:color w:val="222A33"/>
                <w:sz w:val="21"/>
              </w:rPr>
              <w:t>穿山港区 · 北三集司展厅 + 观景平台</w:t>
            </w:r>
          </w:p>
        </w:tc>
        <w:tc>
          <w:tcPr>
            <w:tcW w:type="dxa" w:w="3097"/>
          </w:tcPr>
          <w:p>
            <w:r>
              <w:rPr>
                <w:rFonts w:ascii="微软雅黑" w:hAnsi="微软雅黑" w:eastAsia="微软雅黑"/>
                <w:b w:val="0"/>
                <w:color w:val="222A33"/>
                <w:sz w:val="21"/>
              </w:rPr>
              <w:t>世界级集装箱枢纽与智慧港口体验</w:t>
            </w:r>
          </w:p>
        </w:tc>
      </w:tr>
      <w:tr>
        <w:tc>
          <w:tcPr>
            <w:tcW w:type="dxa" w:w="3097"/>
          </w:tcPr>
          <w:p>
            <w:r>
              <w:rPr>
                <w:rFonts w:ascii="微软雅黑" w:hAnsi="微软雅黑" w:eastAsia="微软雅黑"/>
                <w:b w:val="0"/>
                <w:color w:val="222A33"/>
                <w:sz w:val="21"/>
              </w:rPr>
              <w:t>15:20–16:20</w:t>
            </w:r>
          </w:p>
        </w:tc>
        <w:tc>
          <w:tcPr>
            <w:tcW w:type="dxa" w:w="3097"/>
          </w:tcPr>
          <w:p>
            <w:r>
              <w:rPr>
                <w:rFonts w:ascii="微软雅黑" w:hAnsi="微软雅黑" w:eastAsia="微软雅黑"/>
                <w:b w:val="0"/>
                <w:color w:val="222A33"/>
                <w:sz w:val="21"/>
              </w:rPr>
              <w:t>环球航运广场 · 宁波舟山港展示厅</w:t>
            </w:r>
          </w:p>
        </w:tc>
        <w:tc>
          <w:tcPr>
            <w:tcW w:type="dxa" w:w="3097"/>
          </w:tcPr>
          <w:p>
            <w:r>
              <w:rPr>
                <w:rFonts w:ascii="微软雅黑" w:hAnsi="微软雅黑" w:eastAsia="微软雅黑"/>
                <w:b w:val="0"/>
                <w:color w:val="222A33"/>
                <w:sz w:val="21"/>
              </w:rPr>
              <w:t>港航全景认知 + 港航供应链圆桌（链接一）</w:t>
            </w:r>
          </w:p>
        </w:tc>
      </w:tr>
      <w:tr>
        <w:tc>
          <w:tcPr>
            <w:tcW w:type="dxa" w:w="3097"/>
          </w:tcPr>
          <w:p>
            <w:r>
              <w:rPr>
                <w:rFonts w:ascii="微软雅黑" w:hAnsi="微软雅黑" w:eastAsia="微软雅黑"/>
                <w:b w:val="0"/>
                <w:color w:val="222A33"/>
                <w:sz w:val="21"/>
              </w:rPr>
              <w:t>16:40–18:00</w:t>
            </w:r>
          </w:p>
        </w:tc>
        <w:tc>
          <w:tcPr>
            <w:tcW w:type="dxa" w:w="3097"/>
          </w:tcPr>
          <w:p>
            <w:r>
              <w:rPr>
                <w:rFonts w:ascii="微软雅黑" w:hAnsi="微软雅黑" w:eastAsia="微软雅黑"/>
                <w:b w:val="0"/>
                <w:color w:val="222A33"/>
                <w:sz w:val="21"/>
              </w:rPr>
              <w:t>海天智能制造基地 / 精密产业园</w:t>
            </w:r>
          </w:p>
        </w:tc>
        <w:tc>
          <w:tcPr>
            <w:tcW w:type="dxa" w:w="3097"/>
          </w:tcPr>
          <w:p>
            <w:r>
              <w:rPr>
                <w:rFonts w:ascii="微软雅黑" w:hAnsi="微软雅黑" w:eastAsia="微软雅黑"/>
                <w:b w:val="0"/>
                <w:color w:val="222A33"/>
                <w:sz w:val="21"/>
              </w:rPr>
              <w:t>智能工厂参访 + 供需对接（链接二）</w:t>
            </w:r>
          </w:p>
        </w:tc>
      </w:tr>
      <w:tr>
        <w:tc>
          <w:tcPr>
            <w:tcW w:type="dxa" w:w="3097"/>
          </w:tcPr>
          <w:p>
            <w:r>
              <w:rPr>
                <w:rFonts w:ascii="微软雅黑" w:hAnsi="微软雅黑" w:eastAsia="微软雅黑"/>
                <w:b w:val="0"/>
                <w:color w:val="222A33"/>
                <w:sz w:val="21"/>
              </w:rPr>
              <w:t>18:20 后</w:t>
            </w:r>
          </w:p>
        </w:tc>
        <w:tc>
          <w:tcPr>
            <w:tcW w:type="dxa" w:w="3097"/>
          </w:tcPr>
          <w:p>
            <w:r>
              <w:rPr>
                <w:rFonts w:ascii="微软雅黑" w:hAnsi="微软雅黑" w:eastAsia="微软雅黑"/>
                <w:b w:val="0"/>
                <w:color w:val="222A33"/>
                <w:sz w:val="21"/>
              </w:rPr>
              <w:t>返程或欢迎晚宴</w:t>
            </w:r>
          </w:p>
        </w:tc>
        <w:tc>
          <w:tcPr>
            <w:tcW w:type="dxa" w:w="3097"/>
          </w:tcPr>
          <w:p>
            <w:r>
              <w:rPr>
                <w:rFonts w:ascii="微软雅黑" w:hAnsi="微软雅黑" w:eastAsia="微软雅黑"/>
                <w:b w:val="0"/>
                <w:color w:val="222A33"/>
                <w:sz w:val="21"/>
              </w:rPr>
              <w:t>一日行返沪；两日行晚宴深化非正式交流</w:t>
            </w:r>
          </w:p>
        </w:tc>
      </w:tr>
    </w:tbl>
    <w:p>
      <w:pPr>
        <w:spacing w:after="120" w:before="0"/>
      </w:pPr>
      <w:r>
        <w:rPr>
          <w:rFonts w:ascii="微软雅黑" w:hAnsi="微软雅黑" w:eastAsia="微软雅黑"/>
          <w:b w:val="0"/>
          <w:sz w:val="12"/>
        </w:rPr>
      </w:r>
    </w:p>
    <w:p>
      <w:pPr>
        <w:spacing w:before="200" w:after="160"/>
      </w:pPr>
      <w:r>
        <w:rPr>
          <w:rFonts w:ascii="微软雅黑" w:hAnsi="微软雅黑" w:eastAsia="微软雅黑"/>
          <w:b/>
          <w:color w:val="0B3D5C"/>
          <w:sz w:val="27"/>
        </w:rPr>
        <w:t>7.2 第二日（两日行加深对接，推荐）</w:t>
      </w:r>
    </w:p>
    <w:tbl>
      <w:tblPr>
        <w:tblStyle w:val="TableGrid"/>
        <w:tblW w:type="auto" w:w="0"/>
        <w:jc w:val="center"/>
        <w:tblLook w:firstColumn="1" w:firstRow="1" w:lastColumn="0" w:lastRow="0" w:noHBand="0" w:noVBand="1" w:val="04A0"/>
      </w:tblPr>
      <w:tblGrid>
        <w:gridCol w:w="3097"/>
        <w:gridCol w:w="3097"/>
        <w:gridCol w:w="3097"/>
      </w:tblGrid>
      <w:tr>
        <w:tc>
          <w:tcPr>
            <w:tcW w:type="dxa" w:w="3097"/>
            <w:shd w:val="clear" w:fill="0B3D5C"/>
          </w:tcPr>
          <w:p>
            <w:r>
              <w:rPr>
                <w:rFonts w:ascii="微软雅黑" w:hAnsi="微软雅黑" w:eastAsia="微软雅黑"/>
                <w:b/>
                <w:color w:val="FFFFFF"/>
                <w:sz w:val="21"/>
              </w:rPr>
              <w:t>时间</w:t>
            </w:r>
          </w:p>
        </w:tc>
        <w:tc>
          <w:tcPr>
            <w:tcW w:type="dxa" w:w="3097"/>
            <w:shd w:val="clear" w:fill="0B3D5C"/>
          </w:tcPr>
          <w:p>
            <w:r>
              <w:rPr>
                <w:rFonts w:ascii="微软雅黑" w:hAnsi="微软雅黑" w:eastAsia="微软雅黑"/>
                <w:b/>
                <w:color w:val="FFFFFF"/>
                <w:sz w:val="21"/>
              </w:rPr>
              <w:t>事项</w:t>
            </w:r>
          </w:p>
        </w:tc>
        <w:tc>
          <w:tcPr>
            <w:tcW w:type="dxa" w:w="3097"/>
            <w:shd w:val="clear" w:fill="0B3D5C"/>
          </w:tcPr>
          <w:p>
            <w:r>
              <w:rPr>
                <w:rFonts w:ascii="微软雅黑" w:hAnsi="微软雅黑" w:eastAsia="微软雅黑"/>
                <w:b/>
                <w:color w:val="FFFFFF"/>
                <w:sz w:val="21"/>
              </w:rPr>
              <w:t>说明</w:t>
            </w:r>
          </w:p>
        </w:tc>
      </w:tr>
      <w:tr>
        <w:tc>
          <w:tcPr>
            <w:tcW w:type="dxa" w:w="3097"/>
          </w:tcPr>
          <w:p>
            <w:r>
              <w:rPr>
                <w:rFonts w:ascii="微软雅黑" w:hAnsi="微软雅黑" w:eastAsia="微软雅黑"/>
                <w:b w:val="0"/>
                <w:color w:val="222A33"/>
                <w:sz w:val="21"/>
              </w:rPr>
              <w:t>09:00–10:30</w:t>
            </w:r>
          </w:p>
        </w:tc>
        <w:tc>
          <w:tcPr>
            <w:tcW w:type="dxa" w:w="3097"/>
          </w:tcPr>
          <w:p>
            <w:r>
              <w:rPr>
                <w:rFonts w:ascii="微软雅黑" w:hAnsi="微软雅黑" w:eastAsia="微软雅黑"/>
                <w:b w:val="0"/>
                <w:color w:val="222A33"/>
                <w:sz w:val="21"/>
              </w:rPr>
              <w:t>开发区科技创业园 2.0 / 甬江科创区北仑片</w:t>
            </w:r>
          </w:p>
        </w:tc>
        <w:tc>
          <w:tcPr>
            <w:tcW w:type="dxa" w:w="3097"/>
          </w:tcPr>
          <w:p>
            <w:r>
              <w:rPr>
                <w:rFonts w:ascii="微软雅黑" w:hAnsi="微软雅黑" w:eastAsia="微软雅黑"/>
                <w:b w:val="0"/>
                <w:color w:val="222A33"/>
                <w:sz w:val="21"/>
              </w:rPr>
              <w:t>孵化载体参访 + 落地工作坊（链接三）</w:t>
            </w:r>
          </w:p>
        </w:tc>
      </w:tr>
      <w:tr>
        <w:tc>
          <w:tcPr>
            <w:tcW w:type="dxa" w:w="3097"/>
          </w:tcPr>
          <w:p>
            <w:r>
              <w:rPr>
                <w:rFonts w:ascii="微软雅黑" w:hAnsi="微软雅黑" w:eastAsia="微软雅黑"/>
                <w:b w:val="0"/>
                <w:color w:val="222A33"/>
                <w:sz w:val="21"/>
              </w:rPr>
              <w:t>10:45–12:15</w:t>
            </w:r>
          </w:p>
        </w:tc>
        <w:tc>
          <w:tcPr>
            <w:tcW w:type="dxa" w:w="3097"/>
          </w:tcPr>
          <w:p>
            <w:r>
              <w:rPr>
                <w:rFonts w:ascii="微软雅黑" w:hAnsi="微软雅黑" w:eastAsia="微软雅黑"/>
                <w:b w:val="0"/>
                <w:color w:val="222A33"/>
                <w:sz w:val="21"/>
              </w:rPr>
              <w:t>极氪梅山智慧工厂（或吉利新能源载体）</w:t>
            </w:r>
          </w:p>
        </w:tc>
        <w:tc>
          <w:tcPr>
            <w:tcW w:type="dxa" w:w="3097"/>
          </w:tcPr>
          <w:p>
            <w:r>
              <w:rPr>
                <w:rFonts w:ascii="微软雅黑" w:hAnsi="微软雅黑" w:eastAsia="微软雅黑"/>
                <w:b w:val="0"/>
                <w:color w:val="222A33"/>
                <w:sz w:val="21"/>
              </w:rPr>
              <w:t>新能源智造现场 + 产业生态对话</w:t>
            </w:r>
          </w:p>
        </w:tc>
      </w:tr>
      <w:tr>
        <w:tc>
          <w:tcPr>
            <w:tcW w:type="dxa" w:w="3097"/>
          </w:tcPr>
          <w:p>
            <w:r>
              <w:rPr>
                <w:rFonts w:ascii="微软雅黑" w:hAnsi="微软雅黑" w:eastAsia="微软雅黑"/>
                <w:b w:val="0"/>
                <w:color w:val="222A33"/>
                <w:sz w:val="21"/>
              </w:rPr>
              <w:t>12:15–13:30</w:t>
            </w:r>
          </w:p>
        </w:tc>
        <w:tc>
          <w:tcPr>
            <w:tcW w:type="dxa" w:w="3097"/>
          </w:tcPr>
          <w:p>
            <w:r>
              <w:rPr>
                <w:rFonts w:ascii="微软雅黑" w:hAnsi="微软雅黑" w:eastAsia="微软雅黑"/>
                <w:b w:val="0"/>
                <w:color w:val="222A33"/>
                <w:sz w:val="21"/>
              </w:rPr>
              <w:t>工作午餐</w:t>
            </w:r>
          </w:p>
        </w:tc>
        <w:tc>
          <w:tcPr>
            <w:tcW w:type="dxa" w:w="3097"/>
          </w:tcPr>
          <w:p>
            <w:r>
              <w:rPr>
                <w:rFonts w:ascii="微软雅黑" w:hAnsi="微软雅黑" w:eastAsia="微软雅黑"/>
                <w:b w:val="0"/>
                <w:color w:val="222A33"/>
                <w:sz w:val="21"/>
              </w:rPr>
              <w:t>分组交流：制造配套 / 出海 / 投资</w:t>
            </w:r>
          </w:p>
        </w:tc>
      </w:tr>
      <w:tr>
        <w:tc>
          <w:tcPr>
            <w:tcW w:type="dxa" w:w="3097"/>
          </w:tcPr>
          <w:p>
            <w:r>
              <w:rPr>
                <w:rFonts w:ascii="微软雅黑" w:hAnsi="微软雅黑" w:eastAsia="微软雅黑"/>
                <w:b w:val="0"/>
                <w:color w:val="222A33"/>
                <w:sz w:val="21"/>
              </w:rPr>
              <w:t>13:45–15:15</w:t>
            </w:r>
          </w:p>
        </w:tc>
        <w:tc>
          <w:tcPr>
            <w:tcW w:type="dxa" w:w="3097"/>
          </w:tcPr>
          <w:p>
            <w:r>
              <w:rPr>
                <w:rFonts w:ascii="微软雅黑" w:hAnsi="微软雅黑" w:eastAsia="微软雅黑"/>
                <w:b w:val="0"/>
                <w:color w:val="222A33"/>
                <w:sz w:val="21"/>
              </w:rPr>
              <w:t>拓普 / 东方电缆（二选一深访）或梅山港区</w:t>
            </w:r>
          </w:p>
        </w:tc>
        <w:tc>
          <w:tcPr>
            <w:tcW w:type="dxa" w:w="3097"/>
          </w:tcPr>
          <w:p>
            <w:r>
              <w:rPr>
                <w:rFonts w:ascii="微软雅黑" w:hAnsi="微软雅黑" w:eastAsia="微软雅黑"/>
                <w:b w:val="0"/>
                <w:color w:val="222A33"/>
                <w:sz w:val="21"/>
              </w:rPr>
              <w:t>硬科技深访或绿色港口能力补充</w:t>
            </w:r>
          </w:p>
        </w:tc>
      </w:tr>
      <w:tr>
        <w:tc>
          <w:tcPr>
            <w:tcW w:type="dxa" w:w="3097"/>
          </w:tcPr>
          <w:p>
            <w:r>
              <w:rPr>
                <w:rFonts w:ascii="微软雅黑" w:hAnsi="微软雅黑" w:eastAsia="微软雅黑"/>
                <w:b w:val="0"/>
                <w:color w:val="222A33"/>
                <w:sz w:val="21"/>
              </w:rPr>
              <w:t>15:30–17:00</w:t>
            </w:r>
          </w:p>
        </w:tc>
        <w:tc>
          <w:tcPr>
            <w:tcW w:type="dxa" w:w="3097"/>
          </w:tcPr>
          <w:p>
            <w:r>
              <w:rPr>
                <w:rFonts w:ascii="微软雅黑" w:hAnsi="微软雅黑" w:eastAsia="微软雅黑"/>
                <w:b w:val="0"/>
                <w:color w:val="222A33"/>
                <w:sz w:val="21"/>
              </w:rPr>
              <w:t>PE/VC · CVC 闭门投洽会</w:t>
            </w:r>
          </w:p>
        </w:tc>
        <w:tc>
          <w:tcPr>
            <w:tcW w:type="dxa" w:w="3097"/>
          </w:tcPr>
          <w:p>
            <w:r>
              <w:rPr>
                <w:rFonts w:ascii="微软雅黑" w:hAnsi="微软雅黑" w:eastAsia="微软雅黑"/>
                <w:b w:val="0"/>
                <w:color w:val="222A33"/>
                <w:sz w:val="21"/>
              </w:rPr>
              <w:t>路演或 1v1（链接四）</w:t>
            </w:r>
          </w:p>
        </w:tc>
      </w:tr>
      <w:tr>
        <w:tc>
          <w:tcPr>
            <w:tcW w:type="dxa" w:w="3097"/>
          </w:tcPr>
          <w:p>
            <w:r>
              <w:rPr>
                <w:rFonts w:ascii="微软雅黑" w:hAnsi="微软雅黑" w:eastAsia="微软雅黑"/>
                <w:b w:val="0"/>
                <w:color w:val="222A33"/>
                <w:sz w:val="21"/>
              </w:rPr>
              <w:t>17:00–17:40</w:t>
            </w:r>
          </w:p>
        </w:tc>
        <w:tc>
          <w:tcPr>
            <w:tcW w:type="dxa" w:w="3097"/>
          </w:tcPr>
          <w:p>
            <w:r>
              <w:rPr>
                <w:rFonts w:ascii="微软雅黑" w:hAnsi="微软雅黑" w:eastAsia="微软雅黑"/>
                <w:b w:val="0"/>
                <w:color w:val="222A33"/>
                <w:sz w:val="21"/>
              </w:rPr>
              <w:t>总结座谈 · 合作备忘</w:t>
            </w:r>
          </w:p>
        </w:tc>
        <w:tc>
          <w:tcPr>
            <w:tcW w:type="dxa" w:w="3097"/>
          </w:tcPr>
          <w:p>
            <w:r>
              <w:rPr>
                <w:rFonts w:ascii="微软雅黑" w:hAnsi="微软雅黑" w:eastAsia="微软雅黑"/>
                <w:b w:val="0"/>
                <w:color w:val="222A33"/>
                <w:sz w:val="21"/>
              </w:rPr>
              <w:t>梳理线索、明确跟进人与时间表</w:t>
            </w:r>
          </w:p>
        </w:tc>
      </w:tr>
      <w:tr>
        <w:tc>
          <w:tcPr>
            <w:tcW w:type="dxa" w:w="3097"/>
          </w:tcPr>
          <w:p>
            <w:r>
              <w:rPr>
                <w:rFonts w:ascii="微软雅黑" w:hAnsi="微软雅黑" w:eastAsia="微软雅黑"/>
                <w:b w:val="0"/>
                <w:color w:val="222A33"/>
                <w:sz w:val="21"/>
              </w:rPr>
              <w:t>17:40 后</w:t>
            </w:r>
          </w:p>
        </w:tc>
        <w:tc>
          <w:tcPr>
            <w:tcW w:type="dxa" w:w="3097"/>
          </w:tcPr>
          <w:p>
            <w:r>
              <w:rPr>
                <w:rFonts w:ascii="微软雅黑" w:hAnsi="微软雅黑" w:eastAsia="微软雅黑"/>
                <w:b w:val="0"/>
                <w:color w:val="222A33"/>
                <w:sz w:val="21"/>
              </w:rPr>
              <w:t>返程上海</w:t>
            </w:r>
          </w:p>
        </w:tc>
        <w:tc>
          <w:tcPr>
            <w:tcW w:type="dxa" w:w="3097"/>
          </w:tcPr>
          <w:p>
            <w:r>
              <w:rPr>
                <w:rFonts w:ascii="微软雅黑" w:hAnsi="微软雅黑" w:eastAsia="微软雅黑"/>
                <w:b w:val="0"/>
                <w:color w:val="222A33"/>
                <w:sz w:val="21"/>
              </w:rPr>
              <w:t>行程结束；港口博物馆可作为弹性插空选配</w:t>
            </w:r>
          </w:p>
        </w:tc>
      </w:tr>
    </w:tbl>
    <w:p>
      <w:pPr>
        <w:spacing w:after="120" w:before="0"/>
      </w:pPr>
      <w:r>
        <w:rPr>
          <w:rFonts w:ascii="微软雅黑" w:hAnsi="微软雅黑" w:eastAsia="微软雅黑"/>
          <w:b w:val="0"/>
          <w:sz w:val="12"/>
        </w:rPr>
      </w:r>
    </w:p>
    <w:p>
      <w:pPr>
        <w:spacing w:before="200" w:after="160"/>
      </w:pPr>
      <w:r>
        <w:rPr>
          <w:rFonts w:ascii="微软雅黑" w:hAnsi="微软雅黑" w:eastAsia="微软雅黑"/>
          <w:b/>
          <w:color w:val="0B3D5C"/>
          <w:sz w:val="27"/>
        </w:rPr>
        <w:t>7.3 参访资源总表（请贵局协助勾选协调）</w:t>
      </w:r>
    </w:p>
    <w:tbl>
      <w:tblPr>
        <w:tblStyle w:val="TableGrid"/>
        <w:tblW w:type="auto" w:w="0"/>
        <w:jc w:val="center"/>
        <w:tblLook w:firstColumn="1" w:firstRow="1" w:lastColumn="0" w:lastRow="0" w:noHBand="0" w:noVBand="1" w:val="04A0"/>
      </w:tblPr>
      <w:tblGrid>
        <w:gridCol w:w="4646"/>
        <w:gridCol w:w="4646"/>
      </w:tblGrid>
      <w:tr>
        <w:tc>
          <w:tcPr>
            <w:tcW w:type="dxa" w:w="4646"/>
            <w:shd w:val="clear" w:fill="0B3D5C"/>
          </w:tcPr>
          <w:p>
            <w:r>
              <w:rPr>
                <w:rFonts w:ascii="微软雅黑" w:hAnsi="微软雅黑" w:eastAsia="微软雅黑"/>
                <w:b/>
                <w:color w:val="FFFFFF"/>
                <w:sz w:val="21"/>
              </w:rPr>
              <w:t>建议点位</w:t>
            </w:r>
          </w:p>
        </w:tc>
        <w:tc>
          <w:tcPr>
            <w:tcW w:type="dxa" w:w="4646"/>
            <w:shd w:val="clear" w:fill="0B3D5C"/>
          </w:tcPr>
          <w:p>
            <w:r>
              <w:rPr>
                <w:rFonts w:ascii="微软雅黑" w:hAnsi="微软雅黑" w:eastAsia="微软雅黑"/>
                <w:b/>
                <w:color w:val="FFFFFF"/>
                <w:sz w:val="21"/>
              </w:rPr>
              <w:t>定位与重点</w:t>
            </w:r>
          </w:p>
        </w:tc>
      </w:tr>
      <w:tr>
        <w:tc>
          <w:tcPr>
            <w:tcW w:type="dxa" w:w="4646"/>
          </w:tcPr>
          <w:p>
            <w:r>
              <w:rPr>
                <w:rFonts w:ascii="微软雅黑" w:hAnsi="微软雅黑" w:eastAsia="微软雅黑"/>
                <w:b w:val="0"/>
                <w:color w:val="222A33"/>
                <w:sz w:val="21"/>
              </w:rPr>
              <w:t>穿山港区 · 北三集司（展厅+观景）</w:t>
            </w:r>
          </w:p>
        </w:tc>
        <w:tc>
          <w:tcPr>
            <w:tcW w:type="dxa" w:w="4646"/>
          </w:tcPr>
          <w:p>
            <w:r>
              <w:rPr>
                <w:rFonts w:ascii="微软雅黑" w:hAnsi="微软雅黑" w:eastAsia="微软雅黑"/>
                <w:b w:val="0"/>
                <w:color w:val="222A33"/>
                <w:sz w:val="21"/>
              </w:rPr>
              <w:t>核心必看 · 港口枢纽与智慧作业</w:t>
            </w:r>
          </w:p>
        </w:tc>
      </w:tr>
      <w:tr>
        <w:tc>
          <w:tcPr>
            <w:tcW w:type="dxa" w:w="4646"/>
          </w:tcPr>
          <w:p>
            <w:r>
              <w:rPr>
                <w:rFonts w:ascii="微软雅黑" w:hAnsi="微软雅黑" w:eastAsia="微软雅黑"/>
                <w:b w:val="0"/>
                <w:color w:val="222A33"/>
                <w:sz w:val="21"/>
              </w:rPr>
              <w:t>环球航运广场 · 舟山港展示厅</w:t>
            </w:r>
          </w:p>
        </w:tc>
        <w:tc>
          <w:tcPr>
            <w:tcW w:type="dxa" w:w="4646"/>
          </w:tcPr>
          <w:p>
            <w:r>
              <w:rPr>
                <w:rFonts w:ascii="微软雅黑" w:hAnsi="微软雅黑" w:eastAsia="微软雅黑"/>
                <w:b w:val="0"/>
                <w:color w:val="222A33"/>
                <w:sz w:val="21"/>
              </w:rPr>
              <w:t>核心必看 · 港航服务与圆桌对接</w:t>
            </w:r>
          </w:p>
        </w:tc>
      </w:tr>
      <w:tr>
        <w:tc>
          <w:tcPr>
            <w:tcW w:type="dxa" w:w="4646"/>
          </w:tcPr>
          <w:p>
            <w:r>
              <w:rPr>
                <w:rFonts w:ascii="微软雅黑" w:hAnsi="微软雅黑" w:eastAsia="微软雅黑"/>
                <w:b w:val="0"/>
                <w:color w:val="222A33"/>
                <w:sz w:val="21"/>
              </w:rPr>
              <w:t>海天智能制造 / 精密产业园</w:t>
            </w:r>
          </w:p>
        </w:tc>
        <w:tc>
          <w:tcPr>
            <w:tcW w:type="dxa" w:w="4646"/>
          </w:tcPr>
          <w:p>
            <w:r>
              <w:rPr>
                <w:rFonts w:ascii="微软雅黑" w:hAnsi="微软雅黑" w:eastAsia="微软雅黑"/>
                <w:b w:val="0"/>
                <w:color w:val="222A33"/>
                <w:sz w:val="21"/>
              </w:rPr>
              <w:t>核心必看 · 装备智造与供需对接</w:t>
            </w:r>
          </w:p>
        </w:tc>
      </w:tr>
      <w:tr>
        <w:tc>
          <w:tcPr>
            <w:tcW w:type="dxa" w:w="4646"/>
          </w:tcPr>
          <w:p>
            <w:r>
              <w:rPr>
                <w:rFonts w:ascii="微软雅黑" w:hAnsi="微软雅黑" w:eastAsia="微软雅黑"/>
                <w:b w:val="0"/>
                <w:color w:val="222A33"/>
                <w:sz w:val="21"/>
              </w:rPr>
              <w:t>科技创业园 2.0 / 甬江科创区北仑片</w:t>
            </w:r>
          </w:p>
        </w:tc>
        <w:tc>
          <w:tcPr>
            <w:tcW w:type="dxa" w:w="4646"/>
          </w:tcPr>
          <w:p>
            <w:r>
              <w:rPr>
                <w:rFonts w:ascii="微软雅黑" w:hAnsi="微软雅黑" w:eastAsia="微软雅黑"/>
                <w:b w:val="0"/>
                <w:color w:val="222A33"/>
                <w:sz w:val="21"/>
              </w:rPr>
              <w:t>核心必看 · 孵化落地与政策答疑</w:t>
            </w:r>
          </w:p>
        </w:tc>
      </w:tr>
      <w:tr>
        <w:tc>
          <w:tcPr>
            <w:tcW w:type="dxa" w:w="4646"/>
          </w:tcPr>
          <w:p>
            <w:r>
              <w:rPr>
                <w:rFonts w:ascii="微软雅黑" w:hAnsi="微软雅黑" w:eastAsia="微软雅黑"/>
                <w:b w:val="0"/>
                <w:color w:val="222A33"/>
                <w:sz w:val="21"/>
              </w:rPr>
              <w:t>极氪梅山智慧工厂（或吉利新能源）</w:t>
            </w:r>
          </w:p>
        </w:tc>
        <w:tc>
          <w:tcPr>
            <w:tcW w:type="dxa" w:w="4646"/>
          </w:tcPr>
          <w:p>
            <w:r>
              <w:rPr>
                <w:rFonts w:ascii="微软雅黑" w:hAnsi="微软雅黑" w:eastAsia="微软雅黑"/>
                <w:b w:val="0"/>
                <w:color w:val="222A33"/>
                <w:sz w:val="21"/>
              </w:rPr>
              <w:t>核心必看 · 新能源智造与产业生态</w:t>
            </w:r>
          </w:p>
        </w:tc>
      </w:tr>
      <w:tr>
        <w:tc>
          <w:tcPr>
            <w:tcW w:type="dxa" w:w="4646"/>
          </w:tcPr>
          <w:p>
            <w:r>
              <w:rPr>
                <w:rFonts w:ascii="微软雅黑" w:hAnsi="微软雅黑" w:eastAsia="微软雅黑"/>
                <w:b w:val="0"/>
                <w:color w:val="222A33"/>
                <w:sz w:val="21"/>
              </w:rPr>
              <w:t>拓普集团 或 东方电缆</w:t>
            </w:r>
          </w:p>
        </w:tc>
        <w:tc>
          <w:tcPr>
            <w:tcW w:type="dxa" w:w="4646"/>
          </w:tcPr>
          <w:p>
            <w:r>
              <w:rPr>
                <w:rFonts w:ascii="微软雅黑" w:hAnsi="微软雅黑" w:eastAsia="微软雅黑"/>
                <w:b w:val="0"/>
                <w:color w:val="222A33"/>
                <w:sz w:val="21"/>
              </w:rPr>
              <w:t>推荐加深 · 硬科技深访二选一</w:t>
            </w:r>
          </w:p>
        </w:tc>
      </w:tr>
      <w:tr>
        <w:tc>
          <w:tcPr>
            <w:tcW w:type="dxa" w:w="4646"/>
          </w:tcPr>
          <w:p>
            <w:r>
              <w:rPr>
                <w:rFonts w:ascii="微软雅黑" w:hAnsi="微软雅黑" w:eastAsia="微软雅黑"/>
                <w:b w:val="0"/>
                <w:color w:val="222A33"/>
                <w:sz w:val="21"/>
              </w:rPr>
              <w:t>梅山港区（绿色港口 / LNG）</w:t>
            </w:r>
          </w:p>
        </w:tc>
        <w:tc>
          <w:tcPr>
            <w:tcW w:type="dxa" w:w="4646"/>
          </w:tcPr>
          <w:p>
            <w:r>
              <w:rPr>
                <w:rFonts w:ascii="微软雅黑" w:hAnsi="微软雅黑" w:eastAsia="微软雅黑"/>
                <w:b w:val="0"/>
                <w:color w:val="222A33"/>
                <w:sz w:val="21"/>
              </w:rPr>
              <w:t>推荐加深 · 与极氪行程就近串联</w:t>
            </w:r>
          </w:p>
        </w:tc>
      </w:tr>
      <w:tr>
        <w:tc>
          <w:tcPr>
            <w:tcW w:type="dxa" w:w="4646"/>
          </w:tcPr>
          <w:p>
            <w:r>
              <w:rPr>
                <w:rFonts w:ascii="微软雅黑" w:hAnsi="微软雅黑" w:eastAsia="微软雅黑"/>
                <w:b w:val="0"/>
                <w:color w:val="222A33"/>
                <w:sz w:val="21"/>
              </w:rPr>
              <w:t>中国港口博物馆（梅山湾）</w:t>
            </w:r>
          </w:p>
        </w:tc>
        <w:tc>
          <w:tcPr>
            <w:tcW w:type="dxa" w:w="4646"/>
          </w:tcPr>
          <w:p>
            <w:r>
              <w:rPr>
                <w:rFonts w:ascii="微软雅黑" w:hAnsi="微软雅黑" w:eastAsia="微软雅黑"/>
                <w:b w:val="0"/>
                <w:color w:val="222A33"/>
                <w:sz w:val="21"/>
              </w:rPr>
              <w:t>文化选配 · 港口叙事与传播素材</w:t>
            </w:r>
          </w:p>
        </w:tc>
      </w:tr>
    </w:tbl>
    <w:p>
      <w:pPr>
        <w:spacing w:after="120" w:before="0"/>
      </w:pPr>
      <w:r>
        <w:rPr>
          <w:rFonts w:ascii="微软雅黑" w:hAnsi="微软雅黑" w:eastAsia="微软雅黑"/>
          <w:b w:val="0"/>
          <w:sz w:val="12"/>
        </w:rPr>
      </w:r>
    </w:p>
    <w:p>
      <w:pPr>
        <w:spacing w:before="280" w:after="160"/>
      </w:pPr>
      <w:r>
        <w:rPr>
          <w:rFonts w:ascii="微软雅黑" w:hAnsi="微软雅黑" w:eastAsia="微软雅黑"/>
          <w:b/>
          <w:color w:val="0B3D5C"/>
          <w:sz w:val="32"/>
        </w:rPr>
        <w:t>八、预期成果与长效合作</w:t>
      </w:r>
    </w:p>
    <w:p>
      <w:pPr>
        <w:spacing w:before="200" w:after="160"/>
      </w:pPr>
      <w:r>
        <w:rPr>
          <w:rFonts w:ascii="微软雅黑" w:hAnsi="微软雅黑" w:eastAsia="微软雅黑"/>
          <w:b/>
          <w:color w:val="0B3D5C"/>
          <w:sz w:val="27"/>
        </w:rPr>
        <w:t>8.1 本次预期成果</w:t>
      </w:r>
    </w:p>
    <w:p>
      <w:pPr>
        <w:pStyle w:val="ListBullet"/>
        <w:spacing w:after="60"/>
      </w:pPr>
      <w:r>
        <w:rPr>
          <w:rFonts w:ascii="微软雅黑" w:hAnsi="微软雅黑" w:eastAsia="微软雅黑"/>
          <w:color w:val="222A33"/>
          <w:sz w:val="22"/>
        </w:rPr>
        <w:t>形成《宁波港精选点位考察纪要》与参访影像资料（含港口 / 企业现场要点）。</w:t>
      </w:r>
    </w:p>
    <w:p>
      <w:pPr>
        <w:pStyle w:val="ListBullet"/>
        <w:spacing w:after="60"/>
      </w:pPr>
      <w:r>
        <w:rPr>
          <w:rFonts w:ascii="微软雅黑" w:hAnsi="微软雅黑" w:eastAsia="微软雅黑"/>
          <w:color w:val="222A33"/>
          <w:sz w:val="22"/>
        </w:rPr>
        <w:t>形成“港航供应链 / 智能制造配套 / 孵化落地 / 投融资”四类合作意向清单，明确责任人与跟进节点。</w:t>
      </w:r>
    </w:p>
    <w:p>
      <w:pPr>
        <w:pStyle w:val="ListBullet"/>
        <w:spacing w:after="60"/>
      </w:pPr>
      <w:r>
        <w:rPr>
          <w:rFonts w:ascii="微软雅黑" w:hAnsi="微软雅黑" w:eastAsia="微软雅黑"/>
          <w:color w:val="222A33"/>
          <w:sz w:val="22"/>
        </w:rPr>
        <w:t>推动 1–若干个可落地事项：用港与供应链优化、企业考察回访、分支或产能落地、孵化入驻、投融资对接。</w:t>
      </w:r>
    </w:p>
    <w:p>
      <w:pPr>
        <w:pStyle w:val="ListBullet"/>
        <w:spacing w:after="60"/>
      </w:pPr>
      <w:r>
        <w:rPr>
          <w:rFonts w:ascii="微软雅黑" w:hAnsi="微软雅黑" w:eastAsia="微软雅黑"/>
          <w:color w:val="222A33"/>
          <w:sz w:val="22"/>
        </w:rPr>
        <w:t>建立组织方与宁波经济技术开发区投资促进局的常态化联络机制，约定后续双向交流频次。</w:t>
      </w:r>
    </w:p>
    <w:p>
      <w:pPr>
        <w:spacing w:before="200" w:after="160"/>
      </w:pPr>
      <w:r>
        <w:rPr>
          <w:rFonts w:ascii="微软雅黑" w:hAnsi="微软雅黑" w:eastAsia="微软雅黑"/>
          <w:b/>
          <w:color w:val="0B3D5C"/>
          <w:sz w:val="27"/>
        </w:rPr>
        <w:t>8.2 长效合作设想</w:t>
      </w:r>
    </w:p>
    <w:p>
      <w:pPr>
        <w:pStyle w:val="ListBullet"/>
        <w:spacing w:after="60"/>
      </w:pPr>
      <w:r>
        <w:rPr>
          <w:rFonts w:ascii="微软雅黑" w:hAnsi="微软雅黑" w:eastAsia="微软雅黑"/>
          <w:color w:val="222A33"/>
          <w:sz w:val="22"/>
        </w:rPr>
        <w:t>机制共建：探索“沪甬科技企业家定期互访 + 港口 / 产业专题投促日”常态机制</w:t>
      </w:r>
    </w:p>
    <w:p>
      <w:pPr>
        <w:pStyle w:val="ListBullet"/>
        <w:spacing w:after="60"/>
      </w:pPr>
      <w:r>
        <w:rPr>
          <w:rFonts w:ascii="微软雅黑" w:hAnsi="微软雅黑" w:eastAsia="微软雅黑"/>
          <w:color w:val="222A33"/>
          <w:sz w:val="22"/>
        </w:rPr>
        <w:t>项目共推：共同筛选适配开发区产业方向的上海企业与校友项目，对接科技创业园与科创飞地</w:t>
      </w:r>
    </w:p>
    <w:p>
      <w:pPr>
        <w:pStyle w:val="ListBullet"/>
        <w:spacing w:after="60"/>
      </w:pPr>
      <w:r>
        <w:rPr>
          <w:rFonts w:ascii="微软雅黑" w:hAnsi="微软雅黑" w:eastAsia="微软雅黑"/>
          <w:color w:val="222A33"/>
          <w:sz w:val="22"/>
        </w:rPr>
        <w:t>资本协同：引入 PE/VC、CVC 关注当地优质项目，促进资本与产业双向奔赴</w:t>
      </w:r>
    </w:p>
    <w:p>
      <w:pPr>
        <w:pStyle w:val="ListBullet"/>
        <w:spacing w:after="60"/>
      </w:pPr>
      <w:r>
        <w:rPr>
          <w:rFonts w:ascii="微软雅黑" w:hAnsi="微软雅黑" w:eastAsia="微软雅黑"/>
          <w:color w:val="222A33"/>
          <w:sz w:val="22"/>
        </w:rPr>
        <w:t>港产联动：以宁波港为纽带，持续组织外贸、物流科技与临港制造专题对接</w:t>
      </w:r>
    </w:p>
    <w:p>
      <w:pPr>
        <w:spacing w:before="280" w:after="160"/>
      </w:pPr>
      <w:r>
        <w:rPr>
          <w:rFonts w:ascii="微软雅黑" w:hAnsi="微软雅黑" w:eastAsia="微软雅黑"/>
          <w:b/>
          <w:color w:val="0B3D5C"/>
          <w:sz w:val="32"/>
        </w:rPr>
        <w:t>九、恳请接待单位支持事项</w:t>
      </w:r>
    </w:p>
    <w:p>
      <w:pPr>
        <w:spacing w:after="160" w:before="0"/>
        <w:ind w:firstLine="440"/>
      </w:pPr>
      <w:r>
        <w:rPr>
          <w:rFonts w:ascii="微软雅黑" w:hAnsi="微软雅黑" w:eastAsia="微软雅黑"/>
          <w:b w:val="0"/>
          <w:sz w:val="23"/>
        </w:rPr>
        <w:t>为保障考察交流顺利、高效、务实，恳请贵局在以下方面给予支持与指导：</w:t>
      </w:r>
    </w:p>
    <w:tbl>
      <w:tblPr>
        <w:tblStyle w:val="TableGrid"/>
        <w:tblW w:type="auto" w:w="0"/>
        <w:jc w:val="center"/>
        <w:tblLook w:firstColumn="1" w:firstRow="1" w:lastColumn="0" w:lastRow="0" w:noHBand="0" w:noVBand="1" w:val="04A0"/>
      </w:tblPr>
      <w:tblGrid>
        <w:gridCol w:w="4646"/>
        <w:gridCol w:w="4646"/>
      </w:tblGrid>
      <w:tr>
        <w:tc>
          <w:tcPr>
            <w:tcW w:type="dxa" w:w="4646"/>
            <w:shd w:val="clear" w:fill="0B3D5C"/>
          </w:tcPr>
          <w:p>
            <w:r>
              <w:rPr>
                <w:rFonts w:ascii="微软雅黑" w:hAnsi="微软雅黑" w:eastAsia="微软雅黑"/>
                <w:b/>
                <w:color w:val="FFFFFF"/>
                <w:sz w:val="21"/>
              </w:rPr>
              <w:t>支持事项</w:t>
            </w:r>
          </w:p>
        </w:tc>
        <w:tc>
          <w:tcPr>
            <w:tcW w:type="dxa" w:w="4646"/>
            <w:shd w:val="clear" w:fill="0B3D5C"/>
          </w:tcPr>
          <w:p>
            <w:r>
              <w:rPr>
                <w:rFonts w:ascii="微软雅黑" w:hAnsi="微软雅黑" w:eastAsia="微软雅黑"/>
                <w:b/>
                <w:color w:val="FFFFFF"/>
                <w:sz w:val="21"/>
              </w:rPr>
              <w:t>具体说明</w:t>
            </w:r>
          </w:p>
        </w:tc>
      </w:tr>
      <w:tr>
        <w:tc>
          <w:tcPr>
            <w:tcW w:type="dxa" w:w="4646"/>
          </w:tcPr>
          <w:p>
            <w:r>
              <w:rPr>
                <w:rFonts w:ascii="微软雅黑" w:hAnsi="微软雅黑" w:eastAsia="微软雅黑"/>
                <w:b w:val="0"/>
                <w:color w:val="222A33"/>
                <w:sz w:val="21"/>
              </w:rPr>
              <w:t>接待统筹</w:t>
            </w:r>
          </w:p>
        </w:tc>
        <w:tc>
          <w:tcPr>
            <w:tcW w:type="dxa" w:w="4646"/>
          </w:tcPr>
          <w:p>
            <w:r>
              <w:rPr>
                <w:rFonts w:ascii="微软雅黑" w:hAnsi="微软雅黑" w:eastAsia="微软雅黑"/>
                <w:b w:val="0"/>
                <w:color w:val="222A33"/>
                <w:sz w:val="21"/>
              </w:rPr>
              <w:t>指定对接人，统筹行程、车辆、会场与安全保障</w:t>
            </w:r>
          </w:p>
        </w:tc>
      </w:tr>
      <w:tr>
        <w:tc>
          <w:tcPr>
            <w:tcW w:type="dxa" w:w="4646"/>
          </w:tcPr>
          <w:p>
            <w:r>
              <w:rPr>
                <w:rFonts w:ascii="微软雅黑" w:hAnsi="微软雅黑" w:eastAsia="微软雅黑"/>
                <w:b w:val="0"/>
                <w:color w:val="222A33"/>
                <w:sz w:val="21"/>
              </w:rPr>
              <w:t>港口点位协调</w:t>
            </w:r>
          </w:p>
        </w:tc>
        <w:tc>
          <w:tcPr>
            <w:tcW w:type="dxa" w:w="4646"/>
          </w:tcPr>
          <w:p>
            <w:r>
              <w:rPr>
                <w:rFonts w:ascii="微软雅黑" w:hAnsi="微软雅黑" w:eastAsia="微软雅黑"/>
                <w:b w:val="0"/>
                <w:color w:val="222A33"/>
                <w:sz w:val="21"/>
              </w:rPr>
              <w:t>协助对接穿山港区（北三集司）、环球航运广场展示厅；视情况安排梅山港区</w:t>
            </w:r>
          </w:p>
        </w:tc>
      </w:tr>
      <w:tr>
        <w:tc>
          <w:tcPr>
            <w:tcW w:type="dxa" w:w="4646"/>
          </w:tcPr>
          <w:p>
            <w:r>
              <w:rPr>
                <w:rFonts w:ascii="微软雅黑" w:hAnsi="微软雅黑" w:eastAsia="微软雅黑"/>
                <w:b w:val="0"/>
                <w:color w:val="222A33"/>
                <w:sz w:val="21"/>
              </w:rPr>
              <w:t>标杆企业协调</w:t>
            </w:r>
          </w:p>
        </w:tc>
        <w:tc>
          <w:tcPr>
            <w:tcW w:type="dxa" w:w="4646"/>
          </w:tcPr>
          <w:p>
            <w:r>
              <w:rPr>
                <w:rFonts w:ascii="微软雅黑" w:hAnsi="微软雅黑" w:eastAsia="微软雅黑"/>
                <w:b w:val="0"/>
                <w:color w:val="222A33"/>
                <w:sz w:val="21"/>
              </w:rPr>
              <w:t>协助联系海天、极氪（或吉利新能源）、拓普 / 东方电缆等 2–3 家开放接待</w:t>
            </w:r>
          </w:p>
        </w:tc>
      </w:tr>
      <w:tr>
        <w:tc>
          <w:tcPr>
            <w:tcW w:type="dxa" w:w="4646"/>
          </w:tcPr>
          <w:p>
            <w:r>
              <w:rPr>
                <w:rFonts w:ascii="微软雅黑" w:hAnsi="微软雅黑" w:eastAsia="微软雅黑"/>
                <w:b w:val="0"/>
                <w:color w:val="222A33"/>
                <w:sz w:val="21"/>
              </w:rPr>
              <w:t>孵化载体安排</w:t>
            </w:r>
          </w:p>
        </w:tc>
        <w:tc>
          <w:tcPr>
            <w:tcW w:type="dxa" w:w="4646"/>
          </w:tcPr>
          <w:p>
            <w:r>
              <w:rPr>
                <w:rFonts w:ascii="微软雅黑" w:hAnsi="微软雅黑" w:eastAsia="微软雅黑"/>
                <w:b w:val="0"/>
                <w:color w:val="222A33"/>
                <w:sz w:val="21"/>
              </w:rPr>
              <w:t>安排科技创业园 2.0 或甬江科创区北仑片区参观与政策答疑</w:t>
            </w:r>
          </w:p>
        </w:tc>
      </w:tr>
      <w:tr>
        <w:tc>
          <w:tcPr>
            <w:tcW w:type="dxa" w:w="4646"/>
          </w:tcPr>
          <w:p>
            <w:r>
              <w:rPr>
                <w:rFonts w:ascii="微软雅黑" w:hAnsi="微软雅黑" w:eastAsia="微软雅黑"/>
                <w:b w:val="0"/>
                <w:color w:val="222A33"/>
                <w:sz w:val="21"/>
              </w:rPr>
              <w:t>互动环节组织</w:t>
            </w:r>
          </w:p>
        </w:tc>
        <w:tc>
          <w:tcPr>
            <w:tcW w:type="dxa" w:w="4646"/>
          </w:tcPr>
          <w:p>
            <w:r>
              <w:rPr>
                <w:rFonts w:ascii="微软雅黑" w:hAnsi="微软雅黑" w:eastAsia="微软雅黑"/>
                <w:b w:val="0"/>
                <w:color w:val="222A33"/>
                <w:sz w:val="21"/>
              </w:rPr>
              <w:t>配合组织港航圆桌、制造对接、落地工作坊及（可选）投洽会</w:t>
            </w:r>
          </w:p>
        </w:tc>
      </w:tr>
      <w:tr>
        <w:tc>
          <w:tcPr>
            <w:tcW w:type="dxa" w:w="4646"/>
          </w:tcPr>
          <w:p>
            <w:r>
              <w:rPr>
                <w:rFonts w:ascii="微软雅黑" w:hAnsi="微软雅黑" w:eastAsia="微软雅黑"/>
                <w:b w:val="0"/>
                <w:color w:val="222A33"/>
                <w:sz w:val="21"/>
              </w:rPr>
              <w:t>资料支持</w:t>
            </w:r>
          </w:p>
        </w:tc>
        <w:tc>
          <w:tcPr>
            <w:tcW w:type="dxa" w:w="4646"/>
          </w:tcPr>
          <w:p>
            <w:r>
              <w:rPr>
                <w:rFonts w:ascii="微软雅黑" w:hAnsi="微软雅黑" w:eastAsia="微软雅黑"/>
                <w:b w:val="0"/>
                <w:color w:val="222A33"/>
                <w:sz w:val="21"/>
              </w:rPr>
              <w:t>提供开发区简介、产业图谱、招商手册及可公开的项目信息</w:t>
            </w:r>
          </w:p>
        </w:tc>
      </w:tr>
      <w:tr>
        <w:tc>
          <w:tcPr>
            <w:tcW w:type="dxa" w:w="4646"/>
          </w:tcPr>
          <w:p>
            <w:r>
              <w:rPr>
                <w:rFonts w:ascii="微软雅黑" w:hAnsi="微软雅黑" w:eastAsia="微软雅黑"/>
                <w:b w:val="0"/>
                <w:color w:val="222A33"/>
                <w:sz w:val="21"/>
              </w:rPr>
              <w:t>日程确认</w:t>
            </w:r>
          </w:p>
        </w:tc>
        <w:tc>
          <w:tcPr>
            <w:tcW w:type="dxa" w:w="4646"/>
          </w:tcPr>
          <w:p>
            <w:r>
              <w:rPr>
                <w:rFonts w:ascii="微软雅黑" w:hAnsi="微软雅黑" w:eastAsia="微软雅黑"/>
                <w:b w:val="0"/>
                <w:color w:val="222A33"/>
                <w:sz w:val="21"/>
              </w:rPr>
              <w:t>就 8–10 月窗口、各点位接待容量与审批周期给予反馈</w:t>
            </w:r>
          </w:p>
        </w:tc>
      </w:tr>
    </w:tbl>
    <w:p>
      <w:pPr>
        <w:spacing w:after="120" w:before="0"/>
      </w:pPr>
      <w:r>
        <w:rPr>
          <w:rFonts w:ascii="微软雅黑" w:hAnsi="微软雅黑" w:eastAsia="微软雅黑"/>
          <w:b w:val="0"/>
          <w:sz w:val="12"/>
        </w:rPr>
      </w:r>
    </w:p>
    <w:p>
      <w:pPr>
        <w:spacing w:before="280" w:after="160"/>
      </w:pPr>
      <w:r>
        <w:rPr>
          <w:rFonts w:ascii="微软雅黑" w:hAnsi="微软雅黑" w:eastAsia="微软雅黑"/>
          <w:b/>
          <w:color w:val="0B3D5C"/>
          <w:sz w:val="32"/>
        </w:rPr>
        <w:t>十、费用与分工原则</w:t>
      </w:r>
    </w:p>
    <w:p>
      <w:pPr>
        <w:pStyle w:val="ListBullet"/>
        <w:spacing w:after="60"/>
      </w:pPr>
      <w:r>
        <w:rPr>
          <w:rFonts w:ascii="微软雅黑" w:hAnsi="微软雅黑" w:eastAsia="微软雅黑"/>
          <w:color w:val="222A33"/>
          <w:sz w:val="22"/>
        </w:rPr>
        <w:t>往返交通、住宿（如两日行）由组织方统筹、参与人员或组织方承担。</w:t>
      </w:r>
    </w:p>
    <w:p>
      <w:pPr>
        <w:pStyle w:val="ListBullet"/>
        <w:spacing w:after="60"/>
      </w:pPr>
      <w:r>
        <w:rPr>
          <w:rFonts w:ascii="微软雅黑" w:hAnsi="微软雅黑" w:eastAsia="微软雅黑"/>
          <w:color w:val="222A33"/>
          <w:sz w:val="22"/>
        </w:rPr>
        <w:t>开发区范围内接待、会场、参观协调等由接待单位按惯例安排，具体以双方协商为准。</w:t>
      </w:r>
    </w:p>
    <w:p>
      <w:pPr>
        <w:pStyle w:val="ListBullet"/>
        <w:spacing w:after="60"/>
      </w:pPr>
      <w:r>
        <w:rPr>
          <w:rFonts w:ascii="微软雅黑" w:hAnsi="微软雅黑" w:eastAsia="微软雅黑"/>
          <w:color w:val="222A33"/>
          <w:sz w:val="22"/>
        </w:rPr>
        <w:t>港口与工厂参访如需专项讲解或安保配合，由接待单位协助对接，费用按惯例协商。</w:t>
      </w:r>
    </w:p>
    <w:p>
      <w:pPr>
        <w:pStyle w:val="ListBullet"/>
        <w:spacing w:after="60"/>
      </w:pPr>
      <w:r>
        <w:rPr>
          <w:rFonts w:ascii="微软雅黑" w:hAnsi="微软雅黑" w:eastAsia="微软雅黑"/>
          <w:color w:val="222A33"/>
          <w:sz w:val="22"/>
        </w:rPr>
        <w:t>专项投洽、路演或大型对接如需额外场地与服务，双方提前确认费用分担。</w:t>
      </w:r>
    </w:p>
    <w:p>
      <w:pPr>
        <w:spacing w:before="280" w:after="160"/>
      </w:pPr>
      <w:r>
        <w:rPr>
          <w:rFonts w:ascii="微软雅黑" w:hAnsi="微软雅黑" w:eastAsia="微软雅黑"/>
          <w:b/>
          <w:color w:val="0B3D5C"/>
          <w:sz w:val="32"/>
        </w:rPr>
        <w:t>十一、下一步工作安排</w:t>
      </w:r>
    </w:p>
    <w:tbl>
      <w:tblPr>
        <w:tblStyle w:val="TableGrid"/>
        <w:tblW w:type="auto" w:w="0"/>
        <w:jc w:val="center"/>
        <w:tblLook w:firstColumn="1" w:firstRow="1" w:lastColumn="0" w:lastRow="0" w:noHBand="0" w:noVBand="1" w:val="04A0"/>
      </w:tblPr>
      <w:tblGrid>
        <w:gridCol w:w="4646"/>
        <w:gridCol w:w="4646"/>
      </w:tblGrid>
      <w:tr>
        <w:tc>
          <w:tcPr>
            <w:tcW w:type="dxa" w:w="4646"/>
            <w:shd w:val="clear" w:fill="0B3D5C"/>
          </w:tcPr>
          <w:p>
            <w:r>
              <w:rPr>
                <w:rFonts w:ascii="微软雅黑" w:hAnsi="微软雅黑" w:eastAsia="微软雅黑"/>
                <w:b/>
                <w:color w:val="FFFFFF"/>
                <w:sz w:val="21"/>
              </w:rPr>
              <w:t>步骤</w:t>
            </w:r>
          </w:p>
        </w:tc>
        <w:tc>
          <w:tcPr>
            <w:tcW w:type="dxa" w:w="4646"/>
            <w:shd w:val="clear" w:fill="0B3D5C"/>
          </w:tcPr>
          <w:p>
            <w:r>
              <w:rPr>
                <w:rFonts w:ascii="微软雅黑" w:hAnsi="微软雅黑" w:eastAsia="微软雅黑"/>
                <w:b/>
                <w:color w:val="FFFFFF"/>
                <w:sz w:val="21"/>
              </w:rPr>
              <w:t>工作内容</w:t>
            </w:r>
          </w:p>
        </w:tc>
      </w:tr>
      <w:tr>
        <w:tc>
          <w:tcPr>
            <w:tcW w:type="dxa" w:w="4646"/>
          </w:tcPr>
          <w:p>
            <w:r>
              <w:rPr>
                <w:rFonts w:ascii="微软雅黑" w:hAnsi="微软雅黑" w:eastAsia="微软雅黑"/>
                <w:b w:val="0"/>
                <w:color w:val="222A33"/>
                <w:sz w:val="21"/>
              </w:rPr>
              <w:t>① 本策划案送达</w:t>
            </w:r>
          </w:p>
        </w:tc>
        <w:tc>
          <w:tcPr>
            <w:tcW w:type="dxa" w:w="4646"/>
          </w:tcPr>
          <w:p>
            <w:r>
              <w:rPr>
                <w:rFonts w:ascii="微软雅黑" w:hAnsi="微软雅黑" w:eastAsia="微软雅黑"/>
                <w:b w:val="0"/>
                <w:color w:val="222A33"/>
                <w:sz w:val="21"/>
              </w:rPr>
              <w:t>提交宁波经济技术开发区投资促进局审阅</w:t>
            </w:r>
          </w:p>
        </w:tc>
      </w:tr>
      <w:tr>
        <w:tc>
          <w:tcPr>
            <w:tcW w:type="dxa" w:w="4646"/>
          </w:tcPr>
          <w:p>
            <w:r>
              <w:rPr>
                <w:rFonts w:ascii="微软雅黑" w:hAnsi="微软雅黑" w:eastAsia="微软雅黑"/>
                <w:b w:val="0"/>
                <w:color w:val="222A33"/>
                <w:sz w:val="21"/>
              </w:rPr>
              <w:t>② 点位确认</w:t>
            </w:r>
          </w:p>
        </w:tc>
        <w:tc>
          <w:tcPr>
            <w:tcW w:type="dxa" w:w="4646"/>
          </w:tcPr>
          <w:p>
            <w:r>
              <w:rPr>
                <w:rFonts w:ascii="微软雅黑" w:hAnsi="微软雅黑" w:eastAsia="微软雅黑"/>
                <w:b w:val="0"/>
                <w:color w:val="222A33"/>
                <w:sz w:val="21"/>
              </w:rPr>
              <w:t>双方勾选港口 / 企业 / 孵化核心点位，确认可开放接待对象</w:t>
            </w:r>
          </w:p>
        </w:tc>
      </w:tr>
      <w:tr>
        <w:tc>
          <w:tcPr>
            <w:tcW w:type="dxa" w:w="4646"/>
          </w:tcPr>
          <w:p>
            <w:r>
              <w:rPr>
                <w:rFonts w:ascii="微软雅黑" w:hAnsi="微软雅黑" w:eastAsia="微软雅黑"/>
                <w:b w:val="0"/>
                <w:color w:val="222A33"/>
                <w:sz w:val="21"/>
              </w:rPr>
              <w:t>③ 人员与需求</w:t>
            </w:r>
          </w:p>
        </w:tc>
        <w:tc>
          <w:tcPr>
            <w:tcW w:type="dxa" w:w="4646"/>
          </w:tcPr>
          <w:p>
            <w:r>
              <w:rPr>
                <w:rFonts w:ascii="微软雅黑" w:hAnsi="微软雅黑" w:eastAsia="微软雅黑"/>
                <w:b w:val="0"/>
                <w:color w:val="222A33"/>
                <w:sz w:val="21"/>
              </w:rPr>
              <w:t>组织方提交名单及“用港 / 落地 / 投资”三类需求问卷</w:t>
            </w:r>
          </w:p>
        </w:tc>
      </w:tr>
      <w:tr>
        <w:tc>
          <w:tcPr>
            <w:tcW w:type="dxa" w:w="4646"/>
          </w:tcPr>
          <w:p>
            <w:r>
              <w:rPr>
                <w:rFonts w:ascii="微软雅黑" w:hAnsi="微软雅黑" w:eastAsia="微软雅黑"/>
                <w:b w:val="0"/>
                <w:color w:val="222A33"/>
                <w:sz w:val="21"/>
              </w:rPr>
              <w:t>④ 正式行程锁定</w:t>
            </w:r>
          </w:p>
        </w:tc>
        <w:tc>
          <w:tcPr>
            <w:tcW w:type="dxa" w:w="4646"/>
          </w:tcPr>
          <w:p>
            <w:r>
              <w:rPr>
                <w:rFonts w:ascii="微软雅黑" w:hAnsi="微软雅黑" w:eastAsia="微软雅黑"/>
                <w:b w:val="0"/>
                <w:color w:val="222A33"/>
                <w:sz w:val="21"/>
              </w:rPr>
              <w:t>形成最终日程、互动环节主持人与对接会议安排</w:t>
            </w:r>
          </w:p>
        </w:tc>
      </w:tr>
      <w:tr>
        <w:tc>
          <w:tcPr>
            <w:tcW w:type="dxa" w:w="4646"/>
          </w:tcPr>
          <w:p>
            <w:r>
              <w:rPr>
                <w:rFonts w:ascii="微软雅黑" w:hAnsi="微软雅黑" w:eastAsia="微软雅黑"/>
                <w:b w:val="0"/>
                <w:color w:val="222A33"/>
                <w:sz w:val="21"/>
              </w:rPr>
              <w:t>⑤ 成行与复盘</w:t>
            </w:r>
          </w:p>
        </w:tc>
        <w:tc>
          <w:tcPr>
            <w:tcW w:type="dxa" w:w="4646"/>
          </w:tcPr>
          <w:p>
            <w:r>
              <w:rPr>
                <w:rFonts w:ascii="微软雅黑" w:hAnsi="微软雅黑" w:eastAsia="微软雅黑"/>
                <w:b w:val="0"/>
                <w:color w:val="222A33"/>
                <w:sz w:val="21"/>
              </w:rPr>
              <w:t>完成考察交流，一周内形成纪要与四类线索跟进表</w:t>
            </w:r>
          </w:p>
        </w:tc>
      </w:tr>
    </w:tbl>
    <w:p>
      <w:pPr>
        <w:spacing w:after="120" w:before="0"/>
      </w:pPr>
      <w:r>
        <w:rPr>
          <w:rFonts w:ascii="微软雅黑" w:hAnsi="微软雅黑" w:eastAsia="微软雅黑"/>
          <w:b w:val="0"/>
          <w:sz w:val="12"/>
        </w:rPr>
      </w:r>
    </w:p>
    <w:p>
      <w:pPr>
        <w:spacing w:after="280" w:before="0"/>
      </w:pPr>
      <w:r>
        <w:rPr>
          <w:rFonts w:ascii="微软雅黑" w:hAnsi="微软雅黑" w:eastAsia="微软雅黑"/>
          <w:b w:val="0"/>
          <w:color w:val="5A636E"/>
          <w:sz w:val="22"/>
        </w:rPr>
        <w:t>具体联络人、电话与邮箱由组织方另行书面提供。</w:t>
      </w:r>
    </w:p>
    <w:p>
      <w:pPr>
        <w:spacing w:after="160" w:before="0"/>
      </w:pPr>
      <w:r>
        <w:rPr>
          <w:rFonts w:ascii="微软雅黑" w:hAnsi="微软雅黑" w:eastAsia="微软雅黑"/>
          <w:b/>
          <w:color w:val="0B3D5C"/>
          <w:sz w:val="26"/>
        </w:rPr>
        <w:t>结语</w:t>
      </w:r>
    </w:p>
    <w:p>
      <w:pPr>
        <w:spacing w:after="320" w:before="0"/>
        <w:ind w:firstLine="440"/>
      </w:pPr>
      <w:r>
        <w:rPr>
          <w:rFonts w:ascii="微软雅黑" w:hAnsi="微软雅黑" w:eastAsia="微软雅黑"/>
          <w:b w:val="0"/>
          <w:sz w:val="23"/>
        </w:rPr>
        <w:t>诚挚邀请宁波经济技术开发区投资促进局给予指导与支持。期待以精选港口点位与特色企业参访为起点，推动复旦校友、上海科技企业家与宁波经开区在招商引资、科技孵化、产业导入及 PE/VC、CVC 投资等领域形成可持续的沟通与合作。</w:t>
      </w:r>
    </w:p>
    <w:p>
      <w:pPr>
        <w:spacing w:after="80" w:before="0"/>
      </w:pPr>
      <w:r>
        <w:rPr>
          <w:rFonts w:ascii="微软雅黑" w:hAnsi="微软雅黑" w:eastAsia="微软雅黑"/>
          <w:b w:val="0"/>
          <w:sz w:val="24"/>
        </w:rPr>
        <w:t>此致</w:t>
      </w:r>
    </w:p>
    <w:p>
      <w:pPr>
        <w:spacing w:after="400" w:before="0"/>
      </w:pPr>
      <w:r>
        <w:rPr>
          <w:rFonts w:ascii="微软雅黑" w:hAnsi="微软雅黑" w:eastAsia="微软雅黑"/>
          <w:b w:val="0"/>
          <w:sz w:val="24"/>
        </w:rPr>
        <w:t>敬礼</w:t>
      </w:r>
    </w:p>
    <w:p>
      <w:pPr>
        <w:spacing w:after="80" w:before="0"/>
        <w:jc w:val="right"/>
      </w:pPr>
      <w:r>
        <w:rPr>
          <w:rFonts w:ascii="微软雅黑" w:hAnsi="微软雅黑" w:eastAsia="微软雅黑"/>
          <w:b/>
          <w:sz w:val="24"/>
        </w:rPr>
        <w:t>复旦大学住房政策研究中心</w:t>
      </w:r>
    </w:p>
    <w:p>
      <w:pPr>
        <w:spacing w:after="80" w:before="0"/>
        <w:jc w:val="right"/>
      </w:pPr>
      <w:r>
        <w:rPr>
          <w:rFonts w:ascii="微软雅黑" w:hAnsi="微软雅黑" w:eastAsia="微软雅黑"/>
          <w:b/>
          <w:sz w:val="24"/>
        </w:rPr>
        <w:t>上海市杨浦区科技企业联合会</w:t>
      </w:r>
    </w:p>
    <w:p>
      <w:pPr>
        <w:spacing w:after="120" w:before="0"/>
        <w:jc w:val="right"/>
      </w:pPr>
      <w:r>
        <w:rPr>
          <w:rFonts w:ascii="微软雅黑" w:hAnsi="微软雅黑" w:eastAsia="微软雅黑"/>
          <w:b w:val="0"/>
          <w:color w:val="5A636E"/>
          <w:sz w:val="22"/>
        </w:rPr>
        <w:t>2026年7月</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