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800" w:lineRule="auto" w:line="307"/>
        <w:jc w:val="center"/>
      </w:pPr>
      <w:r>
        <w:rPr>
          <w:rFonts w:ascii="微软雅黑" w:hAnsi="微软雅黑" w:eastAsia="微软雅黑" w:cs="微软雅黑"/>
          <w:b w:val="0"/>
          <w:color w:val="C9A227"/>
          <w:sz w:val="24"/>
        </w:rPr>
        <w:t>提交对象</w:t>
      </w:r>
    </w:p>
    <w:p>
      <w:pPr>
        <w:spacing w:after="320" w:before="0" w:lineRule="auto" w:line="307"/>
        <w:jc w:val="center"/>
      </w:pPr>
      <w:r>
        <w:rPr>
          <w:rFonts w:ascii="微软雅黑" w:hAnsi="微软雅黑" w:eastAsia="微软雅黑" w:cs="微软雅黑"/>
          <w:b/>
          <w:color w:val="0E2240"/>
          <w:sz w:val="36"/>
        </w:rPr>
        <w:t>上海同浦汇科技有限公司</w:t>
      </w:r>
    </w:p>
    <w:p>
      <w:pPr>
        <w:spacing w:after="80" w:before="0" w:lineRule="auto" w:line="307"/>
        <w:jc w:val="center"/>
      </w:pPr>
      <w:r>
        <w:rPr>
          <w:rFonts w:ascii="微软雅黑" w:hAnsi="微软雅黑" w:eastAsia="微软雅黑" w:cs="微软雅黑"/>
          <w:b/>
          <w:color w:val="0E2240"/>
          <w:sz w:val="44"/>
        </w:rPr>
        <w:t>创智汇30场活动与科技企业服务中心筹备</w:t>
      </w:r>
    </w:p>
    <w:p>
      <w:pPr>
        <w:spacing w:after="400" w:before="0" w:lineRule="auto" w:line="307"/>
        <w:jc w:val="center"/>
      </w:pPr>
      <w:r>
        <w:rPr>
          <w:rFonts w:ascii="微软雅黑" w:hAnsi="微软雅黑" w:eastAsia="微软雅黑" w:cs="微软雅黑"/>
          <w:b/>
          <w:color w:val="C9A227"/>
          <w:sz w:val="40"/>
        </w:rPr>
        <w:t>业务承接合作策划案</w:t>
      </w:r>
    </w:p>
    <w:p>
      <w:pPr>
        <w:spacing w:after="160" w:before="0" w:lineRule="auto" w:line="307"/>
        <w:jc w:val="center"/>
      </w:pPr>
      <w:r>
        <w:rPr>
          <w:rFonts w:ascii="微软雅黑" w:hAnsi="微软雅黑" w:eastAsia="微软雅黑" w:cs="微软雅黑"/>
          <w:b w:val="0"/>
          <w:color w:val="243044"/>
          <w:sz w:val="24"/>
        </w:rPr>
        <w:t>承接范围：30 场可核验活动  ＋  科技企业服务中心挂牌筹备</w:t>
      </w:r>
    </w:p>
    <w:p>
      <w:pPr>
        <w:spacing w:after="160" w:before="0" w:lineRule="auto" w:line="307"/>
        <w:jc w:val="center"/>
      </w:pPr>
      <w:r>
        <w:rPr>
          <w:rFonts w:ascii="微软雅黑" w:hAnsi="微软雅黑" w:eastAsia="微软雅黑" w:cs="微软雅黑"/>
          <w:b w:val="0"/>
          <w:color w:val="243044"/>
          <w:sz w:val="24"/>
        </w:rPr>
        <w:t>新赛道：智能建造 × 建筑产业出海</w:t>
      </w:r>
    </w:p>
    <w:p>
      <w:pPr>
        <w:spacing w:after="360" w:before="0" w:lineRule="auto" w:line="307"/>
        <w:jc w:val="center"/>
      </w:pPr>
      <w:r>
        <w:rPr>
          <w:rFonts w:ascii="微软雅黑" w:hAnsi="微软雅黑" w:eastAsia="微软雅黑" w:cs="微软雅黑"/>
          <w:b w:val="0"/>
          <w:color w:val="243044"/>
          <w:sz w:val="24"/>
        </w:rPr>
        <w:t>政策包装：现代服务业 + 新一代信息技术（科技赋能建筑）</w:t>
      </w:r>
    </w:p>
    <w:p>
      <w:pPr>
        <w:spacing w:after="160" w:before="0" w:lineRule="auto" w:line="307"/>
        <w:jc w:val="center"/>
      </w:pPr>
      <w:r>
        <w:rPr>
          <w:rFonts w:ascii="微软雅黑" w:hAnsi="微软雅黑" w:eastAsia="微软雅黑" w:cs="微软雅黑"/>
          <w:b w:val="0"/>
          <w:color w:val="243044"/>
          <w:sz w:val="24"/>
        </w:rPr>
        <w:t>提出方：上海市杨浦区科技企业服务中心</w:t>
      </w:r>
    </w:p>
    <w:p>
      <w:pPr>
        <w:spacing w:after="160" w:before="0" w:lineRule="auto" w:line="307"/>
        <w:jc w:val="center"/>
      </w:pPr>
      <w:r>
        <w:rPr>
          <w:rFonts w:ascii="微软雅黑" w:hAnsi="微软雅黑" w:eastAsia="微软雅黑" w:cs="微软雅黑"/>
          <w:b w:val="0"/>
          <w:color w:val="243044"/>
          <w:sz w:val="24"/>
        </w:rPr>
        <w:t>联合：上海市杨浦区科技企业联合会</w:t>
      </w:r>
    </w:p>
    <w:p>
      <w:pPr>
        <w:spacing w:after="160" w:before="0" w:lineRule="auto" w:line="307"/>
        <w:jc w:val="center"/>
      </w:pPr>
      <w:r>
        <w:rPr>
          <w:rFonts w:ascii="微软雅黑" w:hAnsi="微软雅黑" w:eastAsia="微软雅黑" w:cs="微软雅黑"/>
          <w:b w:val="0"/>
          <w:color w:val="243044"/>
          <w:sz w:val="24"/>
        </w:rPr>
        <w:t>学术支持：复旦大学住房政策研究中心（学术支持）</w:t>
      </w:r>
    </w:p>
    <w:p>
      <w:pPr>
        <w:spacing w:after="240" w:before="0" w:lineRule="auto" w:line="307"/>
        <w:jc w:val="center"/>
      </w:pPr>
      <w:r>
        <w:rPr>
          <w:rFonts w:ascii="微软雅黑" w:hAnsi="微软雅黑" w:eastAsia="微软雅黑" w:cs="微软雅黑"/>
          <w:b w:val="0"/>
          <w:color w:val="243044"/>
          <w:sz w:val="24"/>
        </w:rPr>
        <w:t>2026年9月1日　｜　执行周期 2026.08—2027.07</w:t>
      </w:r>
    </w:p>
    <w:p>
      <w:pPr>
        <w:spacing w:after="480" w:before="0" w:lineRule="auto" w:line="307"/>
        <w:jc w:val="center"/>
      </w:pPr>
      <w:r>
        <w:rPr>
          <w:rFonts w:ascii="微软雅黑" w:hAnsi="微软雅黑" w:eastAsia="微软雅黑" w:cs="微软雅黑"/>
          <w:b w:val="0"/>
          <w:color w:val="C9A227"/>
          <w:sz w:val="20"/>
        </w:rPr>
        <w:t>机密 · 仅供同浦汇合作沟通，不作为对园区/投资方的承诺函</w:t>
      </w:r>
    </w:p>
    <w:p>
      <w:pPr>
        <w:spacing w:after="160" w:before="0" w:lineRule="auto" w:line="307"/>
        <w:jc w:val="left"/>
      </w:pPr>
      <w:r>
        <w:rPr>
          <w:rFonts w:ascii="微软雅黑" w:hAnsi="微软雅黑" w:eastAsia="微软雅黑" w:cs="微软雅黑"/>
          <w:b/>
          <w:color w:val="0E2240"/>
          <w:sz w:val="28"/>
        </w:rPr>
        <w:t>致同浦汇</w:t>
      </w:r>
    </w:p>
    <w:p>
      <w:pPr>
        <w:spacing w:after="160" w:before="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昨天（8 月 31 日）关于创智汇赛道调整的交流已经把方向说清楚：园区不再以原 AI+IP 内容线作为主叙事，而是转向智能建造与建筑产业出海，并用现代服务业、新一代信息技术的口径完成政策包装。合同口径已经调整，运营成本已经发生，审核方工程部门需要尽快看到一份可执行、可核验、可过审的答卷。</w:t>
      </w:r>
    </w:p>
    <w:p>
      <w:pPr>
        <w:spacing w:after="320" w:before="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据此，杨浦区科技企业服务中心提出：承接同浦汇在本项目上的两项具体业务——一是把 30 场活动按新赛道办完；二是把科技企业服务中心筹备到可挂牌、可申报。同浦汇继续做创智汇面前的产业招服入口和客户关系主人，不把园区接口让出去。本文件是给贵司的承接策划案，便于内部对齐后转交审核材料，不作为对园区或投资方的单方承诺函。</w:t>
      </w:r>
    </w:p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一、昨日共识：为什么现在要承接</w:t>
      </w:r>
    </w:p>
    <w:p>
      <w:pPr>
        <w:spacing w:after="160" w:before="0" w:lineRule="auto" w:line="307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以下内容按 8 月 31 日交流整理，作为双方共同事实，不另做行业预测承诺。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1. 创智汇上周已确定更换赛道：由原 AI+IP 内容线，转向与建筑设计、智能建造结合的方向，并与同济设计资源、中建相关方主业相匹配。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2. 新方向按「现代服务业 + 新一代信息技术」包装，科技赋能建筑，不与高新/载体政策申报发生本质冲突。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3. 核心目标不是把地产施工企业招来租办公室，而是搭建「建筑产业出海」集群：设计、测绘、模块化、绿色低碳、施工机器人可成为出口内容。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4. 会上研判：传统建筑施工景气与回款能力明显弱于人工智能赛道，若仍按招租逻辑推进，后续难以说服审核方，也难以支撑活动转化。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5. 对外口径须谨慎：业主写杨浦科创集团；不宜简单用「中建」名义对接政府资源。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6. 复旦大学住房政策研究中心可提供行业数据、活动组织、专家网络与海外专题经验，作为白皮书、授牌与出海研究的学术支持，不替代同浦汇的园区接口地位。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7. 出海优先城市化率较低的一带一路、东南亚、中亚、非洲、中东市场；产品抓手为绿色低碳 + 建筑施工机器人 + 模块化建筑（含越南等地已有就地建厂探索）。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8. 政策路径：引导入驻企业把经营范围写入智能施工、绿色节能，自行完成高新技术企业认定；可参考广州越秀零碳体验馆，用研学参观形成稳定运营，不完全依赖补贴。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9. 空间抓手：展厅约 500㎡ 做建筑出海科技与模块化产品展示，其余空间承载新材料等。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10. 驻沪领馆资源按目标国匹配（会上口径约 80+），领事到访不纳入 30 场年包。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11. 节奏：合同口径已调整、运营成本已经发生；需尽快形成可交给审核方工程部门的初步方案。</w:t>
      </w:r>
    </w:p>
    <w:p>
      <w:pPr>
        <w:spacing w:after="160" w:before="160" w:lineRule="auto" w:line="307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一句话：旧定位「AI+IP / 数字内容无界共创港」让位给新定位「智能建造 × 建筑产业出海」。30 场年包的商务结构可以沿用，主题线和服中心筹备必须按新赛道重写。</w:t>
      </w:r>
    </w:p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二、承接范围与不承接边界</w:t>
      </w:r>
    </w:p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2.1 承接什么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工作包</w:t>
            </w:r>
          </w:p>
        </w:tc>
        <w:tc>
          <w:tcPr>
            <w:tcW w:type="dxa" w:w="5953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具体内容</w:t>
            </w:r>
          </w:p>
        </w:tc>
      </w:tr>
      <w:tr>
        <w:tc>
          <w:tcPr>
            <w:tcW w:type="dxa" w:w="368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30场活动全案执行</w:t>
            </w:r>
          </w:p>
        </w:tc>
        <w:tc>
          <w:tcPr>
            <w:tcW w:type="dxa" w:w="5953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策划、档期、邀约协同、现场执行、月报、可核验交付</w:t>
            </w:r>
          </w:p>
        </w:tc>
      </w:tr>
      <w:tr>
        <w:tc>
          <w:tcPr>
            <w:tcW w:type="dxa" w:w="368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科技企业服务中心筹备</w:t>
            </w:r>
          </w:p>
        </w:tc>
        <w:tc>
          <w:tcPr>
            <w:tcW w:type="dxa" w:w="5953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挂牌路径、制度与人员、载体认定材料、创新券机构申请、高新辅导SOP、展陈与研学大纲</w:t>
            </w:r>
          </w:p>
        </w:tc>
      </w:tr>
      <w:tr>
        <w:tc>
          <w:tcPr>
            <w:tcW w:type="dxa" w:w="368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新赛道叙事与审核材料</w:t>
            </w:r>
          </w:p>
        </w:tc>
        <w:tc>
          <w:tcPr>
            <w:tcW w:type="dxa" w:w="5953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把昨日共识写成可过审的一页纸 + 90天工作包</w:t>
            </w:r>
          </w:p>
        </w:tc>
      </w:tr>
      <w:tr>
        <w:tc>
          <w:tcPr>
            <w:tcW w:type="dxa" w:w="368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学术与白皮书协同</w:t>
            </w:r>
          </w:p>
        </w:tc>
        <w:tc>
          <w:tcPr>
            <w:tcW w:type="dxa" w:w="5953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对接复旦住房政策研究中心，开题、发布节奏与授牌预热</w:t>
            </w:r>
          </w:p>
        </w:tc>
      </w:tr>
    </w:tbl>
    <w:p/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2.2 明确不承接、不承诺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不取代同浦汇作为园区产业招服入口与客户关系主人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不做租金去化对赌，也不做「必须租出去」的必要性条款（办公 3.3 元高于周边）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不承诺必带外资企业、不承诺领事必到场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不把出海专题、领事到访、挂牌仪式装进 30 万元年包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不向企业承诺高新/载体/补贴必然获批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园区销售促成仍由园区负责；我方与同浦汇负责带到场、建群、回访摘要</w:t>
      </w:r>
    </w:p>
    <w:p>
      <w:pPr>
        <w:spacing w:after="160" w:before="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这样写，是为了让同浦汇在面对园区和审核方时站得住：该承诺的是场次、人数、月报和筹备节点；不承诺的是租金去化、外企到场、补贴获批和领事出席。</w:t>
      </w:r>
    </w:p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三、角色分工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主体</w:t>
            </w:r>
          </w:p>
        </w:tc>
        <w:tc>
          <w:tcPr>
            <w:tcW w:type="dxa" w:w="6803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在本承接方案中的责任</w:t>
            </w:r>
          </w:p>
        </w:tc>
      </w:tr>
      <w:tr>
        <w:tc>
          <w:tcPr>
            <w:tcW w:type="dxa" w:w="283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同浦汇</w:t>
            </w:r>
          </w:p>
        </w:tc>
        <w:tc>
          <w:tcPr>
            <w:tcW w:type="dxa" w:w="6803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园区接口、在谈客户、带客名单协同、建群与回访台账、向园区转交促成线索</w:t>
            </w:r>
          </w:p>
        </w:tc>
      </w:tr>
      <w:tr>
        <w:tc>
          <w:tcPr>
            <w:tcW w:type="dxa" w:w="283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科技企业服务中心</w:t>
            </w:r>
          </w:p>
        </w:tc>
        <w:tc>
          <w:tcPr>
            <w:tcW w:type="dxa" w:w="6803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30场策划与现场执行、服中心挂牌筹备、政策申报材料、月报验收</w:t>
            </w:r>
          </w:p>
        </w:tc>
      </w:tr>
      <w:tr>
        <w:tc>
          <w:tcPr>
            <w:tcW w:type="dxa" w:w="283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科技企业联合会</w:t>
            </w:r>
          </w:p>
        </w:tc>
        <w:tc>
          <w:tcPr>
            <w:tcW w:type="dxa" w:w="6803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联合协办、行业组织协同、活动背书</w:t>
            </w:r>
          </w:p>
        </w:tc>
      </w:tr>
      <w:tr>
        <w:tc>
          <w:tcPr>
            <w:tcW w:type="dxa" w:w="283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复旦住房政策研究中心</w:t>
            </w:r>
          </w:p>
        </w:tc>
        <w:tc>
          <w:tcPr>
            <w:tcW w:type="dxa" w:w="6803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学术支持、白皮书、专家与行业数据、海外专题研究（按场次确认）</w:t>
            </w:r>
          </w:p>
        </w:tc>
      </w:tr>
      <w:tr>
        <w:tc>
          <w:tcPr>
            <w:tcW w:type="dxa" w:w="283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创智汇 / 园区</w:t>
            </w:r>
          </w:p>
        </w:tc>
        <w:tc>
          <w:tcPr>
            <w:tcW w:type="dxa" w:w="6803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场地物业、导视、样板间、在谈名单、销售促成</w:t>
            </w:r>
          </w:p>
        </w:tc>
      </w:tr>
      <w:tr>
        <w:tc>
          <w:tcPr>
            <w:tcW w:type="dxa" w:w="283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杨浦科创集团</w:t>
            </w:r>
          </w:p>
        </w:tc>
        <w:tc>
          <w:tcPr>
            <w:tcW w:type="dxa" w:w="6803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空间业主；重大口径与场地条件确认</w:t>
            </w:r>
          </w:p>
        </w:tc>
      </w:tr>
    </w:tbl>
    <w:p/>
    <w:p>
      <w:pPr>
        <w:spacing w:after="160" w:before="0" w:lineRule="auto" w:line="307"/>
        <w:jc w:val="left"/>
      </w:pPr>
      <w:r>
        <w:rPr>
          <w:rFonts w:ascii="微软雅黑" w:hAnsi="微软雅黑" w:eastAsia="微软雅黑" w:cs="微软雅黑"/>
          <w:b/>
          <w:color w:val="243044"/>
          <w:sz w:val="22"/>
        </w:rPr>
        <w:t>同浦汇联系人：高辰辰　15339617481　产业招服</w:t>
      </w:r>
    </w:p>
    <w:p>
      <w:pPr>
        <w:spacing w:after="160" w:before="0" w:lineRule="auto" w:line="307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空间业主：杨浦科创集团（杨浦国资）。审核相关方：中建相关工程/投资审核方（需过审，不写入合同业主栏）。</w:t>
      </w:r>
    </w:p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四、工作包 A：30 场活动全案</w:t>
      </w:r>
    </w:p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4.1 锁版商务口径（对园区不变）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370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口径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产品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30 场 / 30 万元（固定执行费）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周期</w:t>
            </w:r>
          </w:p>
        </w:tc>
        <w:tc>
          <w:tcPr>
            <w:tcW w:type="dxa" w:w="7370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2026.08—2027.07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人数 / 负责人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每场 ≤30 人（可核验）；≤30%，不做 100% 承兑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触达</w:t>
            </w:r>
          </w:p>
        </w:tc>
        <w:tc>
          <w:tcPr>
            <w:tcW w:type="dxa" w:w="7370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全年约 600+ 人次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付款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签约后 7 日内 50% 启动款；Q3、Q4、次年 Q1、次年 Q2 各 10%；年终收官 10% 尾款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验收</w:t>
            </w:r>
          </w:p>
        </w:tc>
        <w:tc>
          <w:tcPr>
            <w:tcW w:type="dxa" w:w="7370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季度场次完成度 + 月报验收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门票赞助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可冲抵成本，不替代打包价</w:t>
            </w:r>
          </w:p>
        </w:tc>
      </w:tr>
    </w:tbl>
    <w:p/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4.2 新赛道下的六条线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8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线条</w:t>
            </w:r>
          </w:p>
        </w:tc>
        <w:tc>
          <w:tcPr>
            <w:tcW w:type="dxa" w:w="1134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场次</w:t>
            </w:r>
          </w:p>
        </w:tc>
        <w:tc>
          <w:tcPr>
            <w:tcW w:type="dxa" w:w="1984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时间窗</w:t>
            </w:r>
          </w:p>
        </w:tc>
        <w:tc>
          <w:tcPr>
            <w:tcW w:type="dxa" w:w="4252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启动 E</w:t>
            </w:r>
          </w:p>
        </w:tc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5</w:t>
            </w:r>
          </w:p>
        </w:tc>
        <w:tc>
          <w:tcPr>
            <w:tcW w:type="dxa" w:w="198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8 月点火</w:t>
            </w:r>
          </w:p>
        </w:tc>
        <w:tc>
          <w:tcPr>
            <w:tcW w:type="dxa" w:w="4252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赛道切换、渠道、金融、政府、进博承接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 A</w:t>
            </w:r>
          </w:p>
        </w:tc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7</w:t>
            </w:r>
          </w:p>
        </w:tc>
        <w:tc>
          <w:tcPr>
            <w:tcW w:type="dxa" w:w="198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全年能力线</w:t>
            </w:r>
          </w:p>
        </w:tc>
        <w:tc>
          <w:tcPr>
            <w:tcW w:type="dxa" w:w="4252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机器人、模块化、零碳、测绘、黑客松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政策 B</w:t>
            </w:r>
          </w:p>
        </w:tc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4</w:t>
            </w:r>
          </w:p>
        </w:tc>
        <w:tc>
          <w:tcPr>
            <w:tcW w:type="dxa" w:w="198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申报入口</w:t>
            </w:r>
          </w:p>
        </w:tc>
        <w:tc>
          <w:tcPr>
            <w:tcW w:type="dxa" w:w="4252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高新、创新券、YOUNG立方、冲刺营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出海准备 C</w:t>
            </w:r>
          </w:p>
        </w:tc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6</w:t>
            </w:r>
          </w:p>
        </w:tc>
        <w:tc>
          <w:tcPr>
            <w:tcW w:type="dxa" w:w="198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国内可交付</w:t>
            </w:r>
          </w:p>
        </w:tc>
        <w:tc>
          <w:tcPr>
            <w:tcW w:type="dxa" w:w="4252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案例、高校、华东华南、产业地图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展示 D</w:t>
            </w:r>
          </w:p>
        </w:tc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5</w:t>
            </w:r>
          </w:p>
        </w:tc>
        <w:tc>
          <w:tcPr>
            <w:tcW w:type="dxa" w:w="198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空间产品化</w:t>
            </w:r>
          </w:p>
        </w:tc>
        <w:tc>
          <w:tcPr>
            <w:tcW w:type="dxa" w:w="4252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500㎡展厅、白皮书、研学、联展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收官 F</w:t>
            </w:r>
          </w:p>
        </w:tc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3</w:t>
            </w:r>
          </w:p>
        </w:tc>
        <w:tc>
          <w:tcPr>
            <w:tcW w:type="dxa" w:w="198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可核验</w:t>
            </w:r>
          </w:p>
        </w:tc>
        <w:tc>
          <w:tcPr>
            <w:tcW w:type="dxa" w:w="4252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Demo Day、圆桌、年终验收</w:t>
            </w:r>
          </w:p>
        </w:tc>
      </w:tr>
    </w:tbl>
    <w:p/>
    <w:p>
      <w:pPr>
        <w:spacing w:after="160" w:before="0" w:lineRule="auto" w:line="307"/>
        <w:jc w:val="left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合计 30 场。原 ChinaJoy 内容主线不再作为年度叙事；科技能力保留为智能建造的工具，而不是园区主业。</w:t>
      </w:r>
    </w:p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4.3 逐场排期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134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361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361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线条</w:t>
            </w:r>
          </w:p>
        </w:tc>
        <w:tc>
          <w:tcPr>
            <w:tcW w:type="dxa" w:w="3175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活动名称</w:t>
            </w:r>
          </w:p>
        </w:tc>
        <w:tc>
          <w:tcPr>
            <w:tcW w:type="dxa" w:w="2608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本场作用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E1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2026.08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启动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赛道切换说明会 · 园区开放日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把新方向讲清楚，完成主业匹配叙事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E2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2026.08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启动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中介渠道推广日（建造 / 园区）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点火带客，不谈租金对赌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E3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2026.08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启动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五大行与资管对接日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面对施工企业支付能力弱的现实，先找金融出口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E4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2026.08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启动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政府部门与载体沟通日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确认「科技赋能建筑」政策包装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E5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2026.08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启动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进博绿色建造成果承接交流日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借势施工机器人 + 绿色低碳，不替代年包出海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A1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2026.09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施工机器人与智能装备一日营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3F 能力线：装备可见、可体验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C1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2026.09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出海准备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东南亚模块化建筑案例沙龙（国内场）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讲案例与供应链，不含领事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B1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2026.09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政策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智能建造企业高新认定路径沙龙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经营范围写入智能施工 / 绿色节能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A2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2026.10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模块化 / 装配式建筑工作坊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可出口产品与就地建厂逻辑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D1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2026.10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展示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500㎡ 出海展厅共创工作坊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把展陈从概念落到平面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B2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2026.10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政策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创新券与数字化设计工具沙龙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服中心作为服务机构的入口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A3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2026.11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绿色低碳与零碳工地实务营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对接进博观察与越秀研学思路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B3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2026.11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政策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YOUNG立方 · 智能建造政策沙龙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活动经费申报的合规场次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A4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2026.12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智能测绘与数字设计对接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同济设计资源协同，不替代复旦住房政策线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D2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2026.12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展示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行业白皮书开题沙龙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联合复旦形成可传播文本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F1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2026.12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收官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智能建造年度 Demo Day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年度成果可核验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A5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2027.01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建筑机器人场景体验日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3F 体验与招商转化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C2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2027.01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出海准备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高校成果转化 · 智能建造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复旦住房政策 + 同济设计双校协同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B4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2027.02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政策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高企认定冲刺（智能施工专场）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企业自行申报，服中心辅导不承诺获批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D3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2027.02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展示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零碳体验馆研学方案工作坊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中小学生研学运营模型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A6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2027.03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建造科技黑客松（OPC 超级个体）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保留科技社群带流，服务于新赛道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C3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2027.03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出海准备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华东智能设计产业集群对接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华东产能与设计优势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F2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2027.03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收官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通往海外订单季度圆桌（国内）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订单逻辑研讨，领事另计价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C4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2027.04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出海准备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华南制造基地联动对接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华东设计 × 华南制造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D4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2027.04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展示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新材料与绿色建材联展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5F 展陈轮换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C5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2027.05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出海准备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专精特新 · 建造科技路演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申报奖项节奏的企业侧入口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D5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2027.05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展示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展厅内容迭代与市集体验日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人气场，≤30 人核验口径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C6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2027.06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出海准备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一带一路目标国产业地图沙龙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城市化率&lt;50% 国家研究场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A7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2027.06</w:t>
            </w:r>
          </w:p>
        </w:tc>
        <w:tc>
          <w:tcPr>
            <w:tcW w:type="dxa" w:w="136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</w:t>
            </w:r>
          </w:p>
        </w:tc>
        <w:tc>
          <w:tcPr>
            <w:tcW w:type="dxa" w:w="317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智能建造与智能家居交叉应用营</w:t>
            </w:r>
          </w:p>
        </w:tc>
        <w:tc>
          <w:tcPr>
            <w:tcW w:type="dxa" w:w="260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产品出口与场景验证</w:t>
            </w:r>
          </w:p>
        </w:tc>
      </w:tr>
      <w:tr>
        <w:tc>
          <w:tcPr>
            <w:tcW w:type="dxa" w:w="113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F3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2027.07</w:t>
            </w:r>
          </w:p>
        </w:tc>
        <w:tc>
          <w:tcPr>
            <w:tcW w:type="dxa" w:w="136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收官</w:t>
            </w:r>
          </w:p>
        </w:tc>
        <w:tc>
          <w:tcPr>
            <w:tcW w:type="dxa" w:w="317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年度收官 · 下一年度预热圆桌</w:t>
            </w:r>
          </w:p>
        </w:tc>
        <w:tc>
          <w:tcPr>
            <w:tcW w:type="dxa" w:w="260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验收 30 场 + 预热 2027</w:t>
            </w:r>
          </w:p>
        </w:tc>
      </w:tr>
    </w:tbl>
    <w:p/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4.4 单场标准与转化闭环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执行节奏：T-14 策划邀约 → T-7 确认名单 → T-1 场地物料 → D 日执行 → T+1~7 建群 / 回访摘要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转化闭环：到场 → 建群 → 看场 → 同浦汇回访 → 园区销售促成 → 复盘回流下一场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交付物：方案、签到、现场执行、月报；回访只交摘要知会，不要求园区逐户回访</w:t>
      </w:r>
    </w:p>
    <w:p>
      <w:pPr>
        <w:spacing w:after="160" w:before="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同浦汇在闭环中多承担客户跟踪和回访台账；服中心重心放在下一场策划与现场。回访纪要只向园区交摘要知会，不要求园区逐户回访，也不再使用「关联度 100% 核验表」。</w:t>
      </w:r>
    </w:p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4.5 不进年包的加购项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3685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计价原则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出海专题执行</w:t>
            </w:r>
          </w:p>
        </w:tc>
        <w:tc>
          <w:tcPr>
            <w:tcW w:type="dxa" w:w="368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境外对接、订单撮合、海外考察</w:t>
            </w:r>
          </w:p>
        </w:tc>
        <w:tc>
          <w:tcPr>
            <w:tcW w:type="dxa" w:w="368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10–20 万/场次或专项，一事一议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领事到访接待</w:t>
            </w:r>
          </w:p>
        </w:tc>
        <w:tc>
          <w:tcPr>
            <w:tcW w:type="dxa" w:w="368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驻沪领馆匹配目标国</w:t>
            </w:r>
          </w:p>
        </w:tc>
        <w:tc>
          <w:tcPr>
            <w:tcW w:type="dxa" w:w="368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按场次另计价，与挂牌分开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挂牌仪式</w:t>
            </w:r>
          </w:p>
        </w:tc>
        <w:tc>
          <w:tcPr>
            <w:tcW w:type="dxa" w:w="368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服中心 / 复旦战略合作授牌</w:t>
            </w:r>
          </w:p>
        </w:tc>
        <w:tc>
          <w:tcPr>
            <w:tcW w:type="dxa" w:w="3685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3 万/个起，挂牌≠领事活动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战略签约大会升级</w:t>
            </w:r>
          </w:p>
        </w:tc>
        <w:tc>
          <w:tcPr>
            <w:tcW w:type="dxa" w:w="368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媒体、会场、嘉宾规格升级</w:t>
            </w:r>
          </w:p>
        </w:tc>
        <w:tc>
          <w:tcPr>
            <w:tcW w:type="dxa" w:w="3685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在预热沙龙之外另报价</w:t>
            </w:r>
          </w:p>
        </w:tc>
      </w:tr>
    </w:tbl>
    <w:p/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五、工作包 B：科技企业服务中心筹备</w:t>
      </w:r>
    </w:p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5.1 筹备目标</w:t>
      </w:r>
    </w:p>
    <w:p>
      <w:pPr>
        <w:spacing w:after="160" w:before="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90 天内，把「上海市杨浦区科技企业服务中心」在创智汇做成可挂牌、可辅导、可申报的服务入口。挂牌仪式另计价；筹备过程不另向同浦汇收取费用。政策收益按第八章分成。</w:t>
      </w:r>
    </w:p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5.2 九十天节奏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01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窗口</w:t>
            </w:r>
          </w:p>
        </w:tc>
        <w:tc>
          <w:tcPr>
            <w:tcW w:type="dxa" w:w="1984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主题</w:t>
            </w:r>
          </w:p>
        </w:tc>
        <w:tc>
          <w:tcPr>
            <w:tcW w:type="dxa" w:w="5953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交付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D0–15</w:t>
            </w:r>
          </w:p>
        </w:tc>
        <w:tc>
          <w:tcPr>
            <w:tcW w:type="dxa" w:w="198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叙事与主体</w:t>
            </w:r>
          </w:p>
        </w:tc>
        <w:tc>
          <w:tcPr>
            <w:tcW w:type="dxa" w:w="5953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统一新赛道一页纸；确认挂牌主体、2 人配置、创智汇接待位 / 500㎡ 展区界面</w:t>
            </w:r>
          </w:p>
        </w:tc>
      </w:tr>
      <w:tr>
        <w:tc>
          <w:tcPr>
            <w:tcW w:type="dxa" w:w="170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D16–45</w:t>
            </w:r>
          </w:p>
        </w:tc>
        <w:tc>
          <w:tcPr>
            <w:tcW w:type="dxa" w:w="198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制度与申报</w:t>
            </w:r>
          </w:p>
        </w:tc>
        <w:tc>
          <w:tcPr>
            <w:tcW w:type="dxa" w:w="5953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服务制度、辅导 SOP、载体认定材料包、创新券机构申请、高新路径清单</w:t>
            </w:r>
          </w:p>
        </w:tc>
      </w:tr>
      <w:tr>
        <w:tc>
          <w:tcPr>
            <w:tcW w:type="dxa" w:w="1701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D46–75</w:t>
            </w:r>
          </w:p>
        </w:tc>
        <w:tc>
          <w:tcPr>
            <w:tcW w:type="dxa" w:w="1984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产品化</w:t>
            </w:r>
          </w:p>
        </w:tc>
        <w:tc>
          <w:tcPr>
            <w:tcW w:type="dxa" w:w="5953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展陈大纲、零碳研学模型、白皮书开题、首批可辅导企业名单</w:t>
            </w:r>
          </w:p>
        </w:tc>
      </w:tr>
      <w:tr>
        <w:tc>
          <w:tcPr>
            <w:tcW w:type="dxa" w:w="1701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D76–90</w:t>
            </w:r>
          </w:p>
        </w:tc>
        <w:tc>
          <w:tcPr>
            <w:tcW w:type="dxa" w:w="1984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可过审包</w:t>
            </w:r>
          </w:p>
        </w:tc>
        <w:tc>
          <w:tcPr>
            <w:tcW w:type="dxa" w:w="5953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给审核方工程部门的初步方案、挂牌仪式报价（另计价）、Q4 场次点火</w:t>
            </w:r>
          </w:p>
        </w:tc>
      </w:tr>
    </w:tbl>
    <w:p/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5.3 空间产品化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空间</w:t>
            </w:r>
          </w:p>
        </w:tc>
        <w:tc>
          <w:tcPr>
            <w:tcW w:type="dxa" w:w="7370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口径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项目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创智汇（一期）　｜　上海 · 杨浦 · 五角场 · 创智天地　｜　约 6600㎡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3F</w:t>
            </w:r>
          </w:p>
        </w:tc>
        <w:tc>
          <w:tcPr>
            <w:tcW w:type="dxa" w:w="7370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约 2850㎡　孵化器 + 办公　→　智能建造办公、装备体验、辅导接待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5F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约 3670㎡　展厅 + 贸易　→　出海展陈、模块化样品、新材料、培训沙龙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专题展区</w:t>
            </w:r>
          </w:p>
        </w:tc>
        <w:tc>
          <w:tcPr>
            <w:tcW w:type="dxa" w:w="7370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约 500㎡　建筑产业出海主题展示（会上口径）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租金 / 物业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办公 3.3 元/㎡/天　｜　物业 13.8 元/㎡/月　｜　待租 8 间（沟通口径）</w:t>
            </w:r>
          </w:p>
        </w:tc>
      </w:tr>
    </w:tbl>
    <w:p/>
    <w:p>
      <w:pPr>
        <w:spacing w:after="160" w:before="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租金 3.3 元高于周边，故本承接方案不做租赁对赌、不做租赁必要性。建议园区给予 1–3 个月免租，由同浦汇与园区线下谈，不写入服中心对同浦汇的承诺。</w:t>
      </w:r>
    </w:p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5.4 政策适配（上限测算，非保证获批）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载体年上限：110 万（成果转化平台 ≤100 + 孵化基地 ≤10）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活动年上限：200 万（YOUNG立方，投入×50%，封顶 200；年包 30 万大约可对应申报约 15 万量级）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十年三部分合计上限：约 6920 万（上限测算，非保证获批）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前置条件：①项目成为经认定载体 / 成果转化服务平台　②服中心作为创新券服务机构</w:t>
      </w:r>
    </w:p>
    <w:p>
      <w:pPr>
        <w:spacing w:after="160" w:before="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对企业：引导将智能施工、绿色节能、数字化设计写入经营范围，自行申报高新技术企业；服中心提供辅导 SOP，成功费以到账为准。对品牌：联合复旦住房政策研究中心开题白皮书，战略合作签约与官方授牌作为加购。零碳体验馆可借鉴广州越秀路径，用中小学研学形成不完全依赖补贴的运营入口。</w:t>
      </w:r>
    </w:p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六、给审核方的三句口径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我们不是在招「付不起租金的施工队来租办公室」。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我们是在用科技企业服务中心，把智能建造产品、模块化建筑和绿色低碳能力组织成可出海的集群。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业主是杨浦科创集团；政府对接使用科技与产业服务口径，不以「中建」名义包装。</w:t>
      </w:r>
    </w:p>
    <w:p>
      <w:pPr>
        <w:spacing w:after="160" w:before="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这三句直接对应昨天会上最容易被误解的三点：行业支付能力、出海集群目标、名义风险。同浦汇转交材料时建议原样保留。</w:t>
      </w:r>
    </w:p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七、可核验指标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7370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标准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场次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12 个月内完成 30 场可核验活动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人数</w:t>
            </w:r>
          </w:p>
        </w:tc>
        <w:tc>
          <w:tcPr>
            <w:tcW w:type="dxa" w:w="7370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单场签到 ≤30 人，全年触达约 600+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月报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每月 1 份，含名单摘要、照片、线索条数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服中心</w:t>
            </w:r>
          </w:p>
        </w:tc>
        <w:tc>
          <w:tcPr>
            <w:tcW w:type="dxa" w:w="7370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90 天内完成挂牌材料与制度包，具备申报条件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转化</w:t>
            </w:r>
          </w:p>
        </w:tc>
        <w:tc>
          <w:tcPr>
            <w:tcW w:type="dxa" w:w="7370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每场输出看场线索，由同浦汇回访、园区促成；不设租金对赌</w:t>
            </w:r>
          </w:p>
        </w:tc>
      </w:tr>
    </w:tbl>
    <w:p/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八、商务与内部结算</w:t>
      </w:r>
    </w:p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8.1 对园区</w:t>
      </w:r>
    </w:p>
    <w:p>
      <w:pPr>
        <w:spacing w:after="160" w:before="0" w:lineRule="auto" w:line="307"/>
        <w:jc w:val="left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活动年包 30 万元、付款节点、不做租金对赌等口径见第四章。招商佣金按 2 个月净租金（首年不重复），由园区销售闭环触发。</w:t>
      </w:r>
    </w:p>
    <w:p>
      <w:pPr>
        <w:spacing w:after="120" w:before="240" w:lineRule="auto" w:line="307"/>
        <w:jc w:val="left"/>
      </w:pPr>
      <w:r>
        <w:rPr>
          <w:rFonts w:ascii="微软雅黑" w:hAnsi="微软雅黑" w:eastAsia="微软雅黑" w:cs="微软雅黑"/>
          <w:b/>
          <w:color w:val="1F6B5C"/>
          <w:sz w:val="26"/>
        </w:rPr>
        <w:t>8.2 同浦汇 × 服中心（建议，供确认）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收入类型</w:t>
            </w:r>
          </w:p>
        </w:tc>
        <w:tc>
          <w:tcPr>
            <w:tcW w:type="dxa" w:w="3118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建议分成</w:t>
            </w:r>
          </w:p>
        </w:tc>
        <w:tc>
          <w:tcPr>
            <w:tcW w:type="dxa" w:w="4252"/>
            <w:shd w:fill="0E2240" w:val="clear"/>
            <w:tcBorders>
              <w:top w:val="single" w:sz="4" w:color="C9A227"/>
              <w:left w:val="single" w:sz="4" w:color="C9A227"/>
              <w:bottom w:val="single" w:sz="4" w:color="C9A227"/>
              <w:right w:val="single" w:sz="4" w:color="C9A227"/>
            </w:tcBorders>
          </w:tcPr>
          <w:p>
            <w:r/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活动年包 30 万</w:t>
            </w:r>
          </w:p>
        </w:tc>
        <w:tc>
          <w:tcPr>
            <w:tcW w:type="dxa" w:w="311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服中心 70% / 同浦汇 30%</w:t>
            </w:r>
          </w:p>
        </w:tc>
        <w:tc>
          <w:tcPr>
            <w:tcW w:type="dxa" w:w="4252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活动年包对园区仍为 30 万；同浦汇与服中心内部建议执行承接 70% / 协同接口 30%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政策申报收益</w:t>
            </w:r>
          </w:p>
        </w:tc>
        <w:tc>
          <w:tcPr>
            <w:tcW w:type="dxa" w:w="311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同浦汇 38% / 服中心 62%</w:t>
            </w:r>
          </w:p>
        </w:tc>
        <w:tc>
          <w:tcPr>
            <w:tcW w:type="dxa" w:w="4252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同浦汇 38% / 服中心 62%（载体乙方偏高、活动均分、申报服务费乙方为主）</w:t>
            </w:r>
          </w:p>
        </w:tc>
      </w:tr>
      <w:tr>
        <w:tc>
          <w:tcPr>
            <w:tcW w:type="dxa" w:w="226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服中心筹备</w:t>
            </w:r>
          </w:p>
        </w:tc>
        <w:tc>
          <w:tcPr>
            <w:tcW w:type="dxa" w:w="3118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不另向同浦汇收费</w:t>
            </w:r>
          </w:p>
        </w:tc>
        <w:tc>
          <w:tcPr>
            <w:tcW w:type="dxa" w:w="4252"/>
            <w:shd w:fill="FFFFFF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服中心挂牌筹备不另向同浦汇收取；向政策与园区要的是牌照与申报入口</w:t>
            </w:r>
          </w:p>
        </w:tc>
      </w:tr>
      <w:tr>
        <w:tc>
          <w:tcPr>
            <w:tcW w:type="dxa" w:w="226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出海 / 领事 / 挂牌</w:t>
            </w:r>
          </w:p>
        </w:tc>
        <w:tc>
          <w:tcPr>
            <w:tcW w:type="dxa" w:w="3118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一事一议</w:t>
            </w:r>
          </w:p>
        </w:tc>
        <w:tc>
          <w:tcPr>
            <w:tcW w:type="dxa" w:w="4252"/>
            <w:shd w:fill="F4EBD3" w:val="clear"/>
            <w:tcBorders>
              <w:top w:val="single" w:sz="4" w:color="E7DDC6"/>
              <w:left w:val="single" w:sz="4" w:color="E7DDC6"/>
              <w:bottom w:val="single" w:sz="4" w:color="E7DDC6"/>
              <w:right w:val="single" w:sz="4" w:color="E7DDC6"/>
            </w:tcBorders>
          </w:tcPr>
          <w:p>
            <w:r/>
            <w:r>
              <w:rPr>
                <w:rFonts w:ascii="微软雅黑" w:hAnsi="微软雅黑" w:eastAsia="微软雅黑" w:cs="微软雅黑"/>
                <w:b w:val="0"/>
                <w:color w:val="243044"/>
                <w:sz w:val="20"/>
              </w:rPr>
              <w:t>与年包、政策分成分开签署</w:t>
            </w:r>
          </w:p>
        </w:tc>
      </w:tr>
    </w:tbl>
    <w:p/>
    <w:p>
      <w:pPr>
        <w:spacing w:after="160" w:before="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两套分成互不混用。活动年包对应执行劳动；政策收益对应牌照与申报主体。确认前，不把 38/62 写成活动包分成，也不把 70/30 写成政策分成。</w:t>
      </w:r>
    </w:p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九、下一步（请同浦汇确认）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1. 同浦汇确认：承接范围（30 场 + 服中心筹备）与不承接边界无异议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2. 确认内部结算：活动年包 70/30、政策收益 38/62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3. 确认 8–9 月前 8 场档期与场地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4. 确认向审核方提交的业主口径（杨浦科创集团）与赛道叙事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5. 签约后 7 日内启动款到位，T+14 交付细化执行手册</w:t>
      </w:r>
    </w:p>
    <w:p>
      <w:pPr>
        <w:spacing w:after="160" w:before="160" w:lineRule="auto" w:line="307"/>
        <w:ind w:firstLine="420"/>
        <w:jc w:val="both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五件事书面确认后，服中心可在启动款到账后 14 日内交付细化执行手册，并按 Excel 台账启动 8–9 月场次。</w:t>
      </w:r>
    </w:p>
    <w:p>
      <w:pPr>
        <w:spacing w:after="200" w:before="320" w:lineRule="auto" w:line="307"/>
        <w:jc w:val="left"/>
        <w:pBdr>
          <w:bottom w:val="single" w:sz="12" w:space="4" w:color="C9A227"/>
        </w:pBdr>
      </w:pPr>
      <w:r>
        <w:rPr>
          <w:rFonts w:ascii="微软雅黑" w:hAnsi="微软雅黑" w:eastAsia="微软雅黑" w:cs="微软雅黑"/>
          <w:b/>
          <w:color w:val="0E2240"/>
          <w:sz w:val="32"/>
        </w:rPr>
        <w:t>十、配套文件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PPT：《同浦汇_30场活动与科技企业服务中心筹备_业务承接策划案.pptx》（会面汇报，16 页）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Excel：《同浦汇_30场活动与科技企业服务中心筹备_执行台账.xlsx》（排期、分工、90 天、商务、风险）</w:t>
      </w:r>
    </w:p>
    <w:p>
      <w:pPr>
        <w:pStyle w:val="ListBullet"/>
        <w:spacing w:after="80" w:line="288" w:lineRule="auto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本文 Word 为可打印、可批注的完整策划案正文。</w:t>
      </w:r>
    </w:p>
    <w:p>
      <w:pPr>
        <w:spacing w:after="160" w:before="360" w:lineRule="auto" w:line="307"/>
        <w:jc w:val="center"/>
      </w:pPr>
      <w:r>
        <w:rPr>
          <w:rFonts w:ascii="微软雅黑" w:hAnsi="微软雅黑" w:eastAsia="微软雅黑" w:cs="微软雅黑"/>
          <w:b w:val="0"/>
          <w:color w:val="C9A227"/>
          <w:sz w:val="22"/>
        </w:rPr>
        <w:t>（正文完）</w:t>
      </w:r>
    </w:p>
    <w:p>
      <w:pPr>
        <w:spacing w:after="160" w:before="0" w:lineRule="auto" w:line="307"/>
        <w:jc w:val="center"/>
      </w:pPr>
      <w:r>
        <w:rPr>
          <w:rFonts w:ascii="微软雅黑" w:hAnsi="微软雅黑" w:eastAsia="微软雅黑" w:cs="微软雅黑"/>
          <w:b/>
          <w:color w:val="0E2240"/>
          <w:sz w:val="22"/>
        </w:rPr>
        <w:t>上海市杨浦区科技企业服务中心</w:t>
      </w:r>
    </w:p>
    <w:p>
      <w:pPr>
        <w:spacing w:after="160" w:before="0" w:lineRule="auto" w:line="307"/>
        <w:jc w:val="center"/>
      </w:pPr>
      <w:r>
        <w:rPr>
          <w:rFonts w:ascii="微软雅黑" w:hAnsi="微软雅黑" w:eastAsia="微软雅黑" w:cs="微软雅黑"/>
          <w:b w:val="0"/>
          <w:color w:val="243044"/>
          <w:sz w:val="22"/>
        </w:rPr>
        <w:t>2026年9月1日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b w:val="0"/>
        <w:color w:val="243044"/>
        <w:sz w:val="16"/>
      </w:rPr>
      <w:t xml:space="preserve">机密 · 仅供同浦汇合作沟通，不作为对园区/投资方的承诺函　　</w:t>
    </w:r>
    <w:r>
      <w:rPr>
        <w:rFonts w:ascii="微软雅黑" w:hAnsi="微软雅黑" w:eastAsia="微软雅黑" w:cs="微软雅黑"/>
        <w:b w:val="0"/>
        <w:color w:val="243044"/>
        <w:sz w:val="16"/>
      </w:rPr>
      <w:t xml:space="preserve">第 </w:t>
    </w:r>
    <w:r>
      <w:rPr>
        <w:rFonts w:ascii="微软雅黑" w:hAnsi="微软雅黑" w:eastAsia="微软雅黑" w:cs="微软雅黑"/>
        <w:b w:val="0"/>
        <w:color w:val="243044"/>
        <w:sz w:val="16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b w:val="0"/>
        <w:color w:val="243044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 w:cs="微软雅黑"/>
        <w:b w:val="0"/>
        <w:color w:val="C9A227"/>
        <w:sz w:val="18"/>
      </w:rPr>
      <w:t>杨浦区科技企业服务中心 × 同浦汇　·　业务承接策划案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