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318"/>
      </w:tblGrid>
      <w:tr>
        <w:tc>
          <w:tcPr>
            <w:tcW w:type="dxa" w:w="10318"/>
            <w:shd w:fill="142B4A" w:val="clear"/>
            <w:tcBorders>
              <w:top w:val="single" w:sz="0" w:color="142B4A" w:space="0"/>
              <w:left w:val="single" w:sz="0" w:color="142B4A" w:space="0"/>
              <w:bottom w:val="single" w:sz="0" w:color="142B4A" w:space="0"/>
              <w:right w:val="single" w:sz="0" w:color="142B4A" w:space="0"/>
            </w:tcBorders>
            <w:tcMar>
              <w:top w:w="90" w:type="dxa"/>
              <w:left w:w="140" w:type="dxa"/>
              <w:bottom w:w="90" w:type="dxa"/>
              <w:right w:w="140" w:type="dxa"/>
            </w:tcMar>
          </w:tcPr>
          <w:p>
            <w:pPr>
              <w:spacing w:after="0"/>
            </w:pPr>
            <w:r/>
            <w:r>
              <w:rPr>
                <w:rFonts w:ascii="微软雅黑" w:hAnsi="微软雅黑" w:eastAsia="微软雅黑"/>
                <w:b/>
                <w:color w:val="FFFFFF"/>
                <w:sz w:val="44"/>
              </w:rPr>
              <w:t>胡继刚</w:t>
            </w:r>
            <w:r>
              <w:rPr>
                <w:rFonts w:ascii="微软雅黑" w:hAnsi="微软雅黑" w:eastAsia="微软雅黑"/>
                <w:b w:val="0"/>
                <w:color w:val="E8D5A3"/>
                <w:sz w:val="22"/>
              </w:rPr>
              <w:t xml:space="preserve">    HU Jigang</w:t>
            </w:r>
          </w:p>
          <w:p>
            <w:pPr>
              <w:spacing w:before="40" w:after="40"/>
            </w:pPr>
            <w:r>
              <w:rPr>
                <w:rFonts w:ascii="微软雅黑" w:hAnsi="微软雅黑" w:eastAsia="微软雅黑"/>
                <w:b/>
                <w:color w:val="E8D5A3"/>
                <w:sz w:val="22"/>
              </w:rPr>
              <w:t>万科上海区域投资副总经理（2017–2021）</w:t>
            </w:r>
          </w:p>
          <w:p>
            <w:pPr>
              <w:spacing w:after="40"/>
            </w:pPr>
            <w:r>
              <w:rPr>
                <w:rFonts w:ascii="微软雅黑" w:hAnsi="微软雅黑" w:eastAsia="微软雅黑"/>
                <w:b w:val="0"/>
                <w:color w:val="D5DEE8"/>
                <w:sz w:val="20"/>
              </w:rPr>
              <w:t>现任复旦大学住房政策研究中心秘书长  ·  城市更新 / 租赁住房</w:t>
            </w:r>
          </w:p>
          <w:p>
            <w:pPr>
              <w:spacing w:after="0"/>
            </w:pPr>
            <w:r>
              <w:rPr>
                <w:rFonts w:ascii="微软雅黑" w:hAnsi="微软雅黑" w:eastAsia="微软雅黑"/>
                <w:b w:val="0"/>
                <w:color w:val="C5D0DC"/>
                <w:sz w:val="18"/>
              </w:rPr>
              <w:t>1987 年生  ｜  九三学社  ｜  上海  ｜  副教授级高级工程师（职称，见资质栏）</w:t>
            </w:r>
          </w:p>
          <w:p>
            <w:pPr>
              <w:spacing w:after="0"/>
            </w:pPr>
            <w:r>
              <w:rPr>
                <w:rFonts w:ascii="微软雅黑" w:hAnsi="微软雅黑" w:eastAsia="微软雅黑"/>
                <w:b w:val="0"/>
                <w:color w:val="C5D0DC"/>
                <w:sz w:val="18"/>
              </w:rPr>
              <w:t>18678408669  ｜  262782809@qq.com  ｜  微信 hu262782809</w:t>
            </w:r>
          </w:p>
        </w:tc>
      </w:tr>
    </w:tbl>
    <w:tbl>
      <w:tblPr>
        <w:tblW w:type="auto" w:w="0"/>
        <w:jc w:val="center"/>
        <w:tblLayout w:type="fixed"/>
        <w:tblLook w:firstColumn="1" w:firstRow="1" w:lastColumn="0" w:lastRow="0" w:noHBand="0" w:noVBand="1" w:val="04A0"/>
      </w:tblPr>
      <w:tblGrid>
        <w:gridCol w:w="2579"/>
        <w:gridCol w:w="2579"/>
        <w:gridCol w:w="2579"/>
        <w:gridCol w:w="2579"/>
      </w:tblGrid>
      <w:tr>
        <w:tc>
          <w:tcPr>
            <w:tcW w:type="dxa" w:w="2580"/>
            <w:shd w:fill="F3F6FA" w:val="clear"/>
            <w:tcBorders>
              <w:top w:val="single" w:sz="4" w:color="D5DDE8" w:space="0"/>
              <w:left w:val="single" w:sz="4" w:color="D5DDE8" w:space="0"/>
              <w:bottom w:val="single" w:sz="4" w:color="D5DDE8" w:space="0"/>
              <w:right w:val="single" w:sz="4" w:color="D5DDE8" w:space="0"/>
            </w:tcBorders>
            <w:tcMar>
              <w:top w:w="60" w:type="dxa"/>
              <w:left w:w="70" w:type="dxa"/>
              <w:bottom w:w="60" w:type="dxa"/>
              <w:right w:w="70" w:type="dxa"/>
            </w:tcMar>
          </w:tcPr>
          <w:p>
            <w:r/>
          </w:p>
          <w:p>
            <w:pPr>
              <w:spacing w:after="0" w:line="259" w:lineRule="auto"/>
              <w:jc w:val="left"/>
            </w:pPr>
            <w:r>
              <w:rPr>
                <w:rFonts w:ascii="微软雅黑" w:hAnsi="微软雅黑" w:eastAsia="微软雅黑"/>
                <w:b w:val="0"/>
                <w:color w:val="5C6670"/>
                <w:sz w:val="17"/>
              </w:rPr>
              <w:t>一线投资</w:t>
            </w:r>
          </w:p>
          <w:p>
            <w:pPr>
              <w:spacing w:after="0"/>
            </w:pPr>
            <w:r>
              <w:rPr>
                <w:rFonts w:ascii="微软雅黑" w:hAnsi="微软雅黑" w:eastAsia="微软雅黑"/>
                <w:b/>
                <w:color w:val="142B4A"/>
                <w:sz w:val="24"/>
              </w:rPr>
              <w:t>2011–2021</w:t>
            </w:r>
          </w:p>
        </w:tc>
        <w:tc>
          <w:tcPr>
            <w:tcW w:type="dxa" w:w="2580"/>
            <w:shd w:fill="F3F6FA" w:val="clear"/>
            <w:tcBorders>
              <w:top w:val="single" w:sz="4" w:color="D5DDE8" w:space="0"/>
              <w:left w:val="single" w:sz="4" w:color="D5DDE8" w:space="0"/>
              <w:bottom w:val="single" w:sz="4" w:color="D5DDE8" w:space="0"/>
              <w:right w:val="single" w:sz="4" w:color="D5DDE8" w:space="0"/>
            </w:tcBorders>
            <w:tcMar>
              <w:top w:w="60" w:type="dxa"/>
              <w:left w:w="70" w:type="dxa"/>
              <w:bottom w:w="60" w:type="dxa"/>
              <w:right w:w="70" w:type="dxa"/>
            </w:tcMar>
          </w:tcPr>
          <w:p>
            <w:r/>
          </w:p>
          <w:p>
            <w:pPr>
              <w:spacing w:after="0" w:line="259" w:lineRule="auto"/>
              <w:jc w:val="left"/>
            </w:pPr>
            <w:r>
              <w:rPr>
                <w:rFonts w:ascii="微软雅黑" w:hAnsi="微软雅黑" w:eastAsia="微软雅黑"/>
                <w:b w:val="0"/>
                <w:color w:val="5C6670"/>
                <w:sz w:val="17"/>
              </w:rPr>
              <w:t>投拓年限</w:t>
            </w:r>
          </w:p>
          <w:p>
            <w:pPr>
              <w:spacing w:after="0"/>
            </w:pPr>
            <w:r>
              <w:rPr>
                <w:rFonts w:ascii="微软雅黑" w:hAnsi="微软雅黑" w:eastAsia="微软雅黑"/>
                <w:b/>
                <w:color w:val="142B4A"/>
                <w:sz w:val="24"/>
              </w:rPr>
              <w:t>约 10 年</w:t>
            </w:r>
          </w:p>
        </w:tc>
        <w:tc>
          <w:tcPr>
            <w:tcW w:type="dxa" w:w="2580"/>
            <w:shd w:fill="F3F6FA" w:val="clear"/>
            <w:tcBorders>
              <w:top w:val="single" w:sz="4" w:color="D5DDE8" w:space="0"/>
              <w:left w:val="single" w:sz="4" w:color="D5DDE8" w:space="0"/>
              <w:bottom w:val="single" w:sz="4" w:color="D5DDE8" w:space="0"/>
              <w:right w:val="single" w:sz="4" w:color="D5DDE8" w:space="0"/>
            </w:tcBorders>
            <w:tcMar>
              <w:top w:w="60" w:type="dxa"/>
              <w:left w:w="70" w:type="dxa"/>
              <w:bottom w:w="60" w:type="dxa"/>
              <w:right w:w="70" w:type="dxa"/>
            </w:tcMar>
          </w:tcPr>
          <w:p>
            <w:r/>
          </w:p>
          <w:p>
            <w:pPr>
              <w:spacing w:after="0" w:line="259" w:lineRule="auto"/>
              <w:jc w:val="left"/>
            </w:pPr>
            <w:r>
              <w:rPr>
                <w:rFonts w:ascii="微软雅黑" w:hAnsi="微软雅黑" w:eastAsia="微软雅黑"/>
                <w:b w:val="0"/>
                <w:color w:val="5C6670"/>
                <w:sz w:val="17"/>
              </w:rPr>
              <w:t>靖江 + 金坛</w:t>
            </w:r>
          </w:p>
          <w:p>
            <w:pPr>
              <w:spacing w:after="0"/>
            </w:pPr>
            <w:r>
              <w:rPr>
                <w:rFonts w:ascii="微软雅黑" w:hAnsi="微软雅黑" w:eastAsia="微软雅黑"/>
                <w:b/>
                <w:color w:val="142B4A"/>
                <w:sz w:val="24"/>
              </w:rPr>
              <w:t>约 43 亿</w:t>
            </w:r>
          </w:p>
        </w:tc>
        <w:tc>
          <w:tcPr>
            <w:tcW w:type="dxa" w:w="2580"/>
            <w:shd w:fill="F3F6FA" w:val="clear"/>
            <w:tcBorders>
              <w:top w:val="single" w:sz="4" w:color="D5DDE8" w:space="0"/>
              <w:left w:val="single" w:sz="4" w:color="D5DDE8" w:space="0"/>
              <w:bottom w:val="single" w:sz="4" w:color="D5DDE8" w:space="0"/>
              <w:right w:val="single" w:sz="4" w:color="D5DDE8" w:space="0"/>
            </w:tcBorders>
            <w:tcMar>
              <w:top w:w="60" w:type="dxa"/>
              <w:left w:w="70" w:type="dxa"/>
              <w:bottom w:w="60" w:type="dxa"/>
              <w:right w:w="70" w:type="dxa"/>
            </w:tcMar>
          </w:tcPr>
          <w:p>
            <w:r/>
          </w:p>
          <w:p>
            <w:pPr>
              <w:spacing w:after="0" w:line="259" w:lineRule="auto"/>
              <w:jc w:val="left"/>
            </w:pPr>
            <w:r>
              <w:rPr>
                <w:rFonts w:ascii="微软雅黑" w:hAnsi="微软雅黑" w:eastAsia="微软雅黑"/>
                <w:b w:val="0"/>
                <w:color w:val="5C6670"/>
                <w:sz w:val="17"/>
              </w:rPr>
              <w:t>新进城市</w:t>
            </w:r>
          </w:p>
          <w:p>
            <w:pPr>
              <w:spacing w:after="0"/>
            </w:pPr>
            <w:r>
              <w:rPr>
                <w:rFonts w:ascii="微软雅黑" w:hAnsi="微软雅黑" w:eastAsia="微软雅黑"/>
                <w:b/>
                <w:color w:val="142B4A"/>
                <w:sz w:val="24"/>
              </w:rPr>
              <w:t>盐城 · 台州 · 金坛</w:t>
            </w:r>
          </w:p>
        </w:tc>
      </w:tr>
    </w:tbl>
    <w:p>
      <w:pPr>
        <w:spacing w:before="160" w:after="40" w:line="283" w:lineRule="auto"/>
      </w:pPr>
      <w:r>
        <w:rPr>
          <w:rFonts w:ascii="微软雅黑" w:hAnsi="微软雅黑" w:eastAsia="微软雅黑"/>
          <w:b w:val="0"/>
          <w:color w:val="2C333A"/>
          <w:sz w:val="19"/>
        </w:rPr>
        <w:t>万科上海区域投资副总经理。2011–2021 年一线投拓，做过收并购、策略勾地、不良处置、物流园落地与国资合作；2021 年起转向住房保障、租赁市场与城市更新研究。一线投资只计至 2021 年，不把此后研究年限算进投资经验。</w:t>
      </w:r>
    </w:p>
    <w:p>
      <w:pPr>
        <w:spacing w:before="160" w:after="20" w:line="269" w:lineRule="auto"/>
      </w:pPr>
      <w:r>
        <w:rPr>
          <w:rFonts w:ascii="微软雅黑" w:hAnsi="微软雅黑" w:eastAsia="微软雅黑"/>
          <w:b/>
          <w:color w:val="142B4A"/>
          <w:sz w:val="24"/>
        </w:rPr>
        <w:t>现任</w:t>
      </w:r>
    </w:p>
    <w:p>
      <w:pPr>
        <w:spacing w:before="0" w:after="80"/>
        <w:pBdr>
          <w:bottom w:val="single" w:sz="14" w:space="1" w:color="C48A2B"/>
        </w:pBdr>
      </w:pPr>
    </w:p>
    <w:tbl>
      <w:tblPr>
        <w:tblW w:type="auto" w:w="0"/>
        <w:jc w:val="center"/>
        <w:tblLayout w:type="fixed"/>
        <w:tblLook w:firstColumn="1" w:firstRow="1" w:lastColumn="0" w:lastRow="0" w:noHBand="0" w:noVBand="1" w:val="04A0"/>
      </w:tblPr>
      <w:tblGrid>
        <w:gridCol w:w="5159"/>
        <w:gridCol w:w="5159"/>
      </w:tblGrid>
      <w:tr>
        <w:tc>
          <w:tcPr>
            <w:tcW w:type="dxa" w:w="7143"/>
            <w:tcBorders>
              <w:top w:val="single" w:sz="0" w:color="FFFFFF" w:space="0"/>
              <w:left w:val="single" w:sz="0" w:color="FFFFFF" w:space="0"/>
              <w:bottom w:val="single" w:sz="0" w:color="FFFFFF" w:space="0"/>
              <w:right w:val="single" w:sz="0" w:color="FFFFFF" w:space="0"/>
            </w:tcBorders>
            <w:tcMar>
              <w:top w:w="20" w:type="dxa"/>
              <w:left w:w="0" w:type="dxa"/>
              <w:bottom w:w="20" w:type="dxa"/>
              <w:right w:w="40" w:type="dxa"/>
            </w:tcMar>
          </w:tcPr>
          <w:p>
            <w:pPr>
              <w:spacing w:after="0"/>
            </w:pPr>
            <w:r/>
            <w:r>
              <w:rPr>
                <w:rFonts w:ascii="微软雅黑" w:hAnsi="微软雅黑" w:eastAsia="微软雅黑"/>
                <w:b/>
                <w:color w:val="142B4A"/>
                <w:sz w:val="21"/>
              </w:rPr>
              <w:t>复旦大学住房政策研究中心</w:t>
            </w:r>
            <w:r>
              <w:rPr>
                <w:rFonts w:ascii="微软雅黑" w:hAnsi="微软雅黑" w:eastAsia="微软雅黑"/>
                <w:b w:val="0"/>
                <w:color w:val="5C6670"/>
                <w:sz w:val="19"/>
              </w:rPr>
              <w:t xml:space="preserve">  |  秘书长</w:t>
            </w:r>
          </w:p>
        </w:tc>
        <w:tc>
          <w:tcPr>
            <w:tcW w:type="dxa" w:w="2835"/>
            <w:tcBorders>
              <w:top w:val="single" w:sz="0" w:color="FFFFFF" w:space="0"/>
              <w:left w:val="single" w:sz="0" w:color="FFFFFF" w:space="0"/>
              <w:bottom w:val="single" w:sz="0" w:color="FFFFFF" w:space="0"/>
              <w:right w:val="single" w:sz="0" w:color="FFFFFF" w:space="0"/>
            </w:tcBorders>
            <w:tcMar>
              <w:top w:w="20" w:type="dxa"/>
              <w:left w:w="40" w:type="dxa"/>
              <w:bottom w:w="20" w:type="dxa"/>
              <w:right w:w="0" w:type="dxa"/>
            </w:tcMar>
          </w:tcPr>
          <w:p>
            <w:pPr>
              <w:spacing w:after="0"/>
              <w:jc w:val="right"/>
            </w:pPr>
            <w:r/>
            <w:r>
              <w:rPr>
                <w:rFonts w:ascii="微软雅黑" w:hAnsi="微软雅黑" w:eastAsia="微软雅黑"/>
                <w:b/>
                <w:color w:val="C48A2B"/>
                <w:sz w:val="19"/>
              </w:rPr>
              <w:t>2021.06 – 至今</w:t>
            </w:r>
          </w:p>
        </w:tc>
      </w:tr>
    </w:tbl>
    <w:p>
      <w:pPr>
        <w:spacing w:before="40" w:after="40" w:line="269" w:lineRule="auto"/>
      </w:pPr>
      <w:r>
        <w:rPr>
          <w:rFonts w:ascii="微软雅黑" w:hAnsi="微软雅黑" w:eastAsia="微软雅黑"/>
          <w:b w:val="0"/>
          <w:color w:val="5C6670"/>
          <w:sz w:val="18"/>
        </w:rPr>
        <w:t>上海。副教授级高级工程师为职称，不是本职务的行政级别。</w:t>
      </w:r>
    </w:p>
    <w:p>
      <w:pPr>
        <w:spacing w:before="0" w:after="30" w:line="269" w:lineRule="auto"/>
        <w:ind w:left="181" w:hanging="181"/>
      </w:pPr>
      <w:r>
        <w:rPr>
          <w:rFonts w:ascii="微软雅黑" w:hAnsi="微软雅黑" w:eastAsia="微软雅黑"/>
          <w:b w:val="0"/>
          <w:color w:val="2C333A"/>
          <w:sz w:val="19"/>
        </w:rPr>
        <w:t>•  牵头住房保障体系、租赁市场发展、城市更新等领域课题，撰写研究报告，为政府决策提供学术支持（原稿口径；具体课题名称与采纳单位待补）。</w:t>
      </w:r>
    </w:p>
    <w:p>
      <w:pPr>
        <w:spacing w:before="0" w:after="30" w:line="269" w:lineRule="auto"/>
        <w:ind w:left="181" w:hanging="181"/>
      </w:pPr>
      <w:r>
        <w:rPr>
          <w:rFonts w:ascii="微软雅黑" w:hAnsi="微软雅黑" w:eastAsia="微软雅黑"/>
          <w:b w:val="0"/>
          <w:color w:val="2C333A"/>
          <w:sz w:val="19"/>
        </w:rPr>
        <w:t>•  组织论坛与闭门研讨，推动学界、企业与政府部门对话。</w:t>
      </w:r>
    </w:p>
    <w:p>
      <w:pPr>
        <w:spacing w:before="0" w:after="30" w:line="269" w:lineRule="auto"/>
        <w:ind w:left="181" w:hanging="181"/>
      </w:pPr>
      <w:r>
        <w:rPr>
          <w:rFonts w:ascii="微软雅黑" w:hAnsi="微软雅黑" w:eastAsia="微软雅黑"/>
          <w:b w:val="0"/>
          <w:color w:val="2C333A"/>
          <w:sz w:val="19"/>
        </w:rPr>
        <w:t>•  可核对的公开活动：2024.06 主持锦天城「他山之石——中国投资者的海外不动产战略布局」；2025.05 参加中心联合主办的「全球新经济增长引擎峰会」房地产×资本×产业圆桌；2025.05 以中心秘书长身份出席上海市工商联房地产商会资管分会成立并登台战略合作。</w:t>
      </w:r>
    </w:p>
    <w:p>
      <w:pPr>
        <w:spacing w:before="160" w:after="20" w:line="269" w:lineRule="auto"/>
      </w:pPr>
      <w:r>
        <w:rPr>
          <w:rFonts w:ascii="微软雅黑" w:hAnsi="微软雅黑" w:eastAsia="微软雅黑"/>
          <w:b/>
          <w:color w:val="142B4A"/>
          <w:sz w:val="24"/>
        </w:rPr>
        <w:t>社会职务</w:t>
      </w:r>
    </w:p>
    <w:p>
      <w:pPr>
        <w:spacing w:before="0" w:after="80"/>
        <w:pBdr>
          <w:bottom w:val="single" w:sz="14" w:space="1" w:color="C48A2B"/>
        </w:pBdr>
      </w:pPr>
    </w:p>
    <w:tbl>
      <w:tblPr>
        <w:tblW w:type="auto" w:w="0"/>
        <w:tblLayout w:type="fixed"/>
        <w:tblLook w:firstColumn="1" w:firstRow="1" w:lastColumn="0" w:lastRow="0" w:noHBand="0" w:noVBand="1" w:val="04A0"/>
      </w:tblPr>
      <w:tblGrid>
        <w:gridCol w:w="3439"/>
        <w:gridCol w:w="3439"/>
        <w:gridCol w:w="3439"/>
      </w:tblGrid>
      <w:tr>
        <w:tc>
          <w:tcPr>
            <w:tcW w:type="dxa" w:w="3430"/>
            <w:shd w:fill="F3F6FA" w:val="clear"/>
            <w:tcBorders>
              <w:top w:val="single" w:sz="4" w:color="D5DDE8" w:space="0"/>
              <w:left w:val="single" w:sz="4" w:color="D5DDE8" w:space="0"/>
              <w:bottom w:val="single" w:sz="4" w:color="D5DDE8" w:space="0"/>
              <w:right w:val="single" w:sz="4" w:color="D5DDE8" w:space="0"/>
            </w:tcBorders>
            <w:tcMar>
              <w:top w:w="60" w:type="dxa"/>
              <w:left w:w="70" w:type="dxa"/>
              <w:bottom w:w="60" w:type="dxa"/>
              <w:right w:w="70" w:type="dxa"/>
            </w:tcMar>
            <w:vAlign w:val="top"/>
          </w:tcPr>
          <w:p>
            <w:r/>
          </w:p>
          <w:p>
            <w:pPr>
              <w:spacing w:after="20" w:line="259" w:lineRule="auto"/>
              <w:jc w:val="left"/>
            </w:pPr>
            <w:r>
              <w:rPr>
                <w:rFonts w:ascii="微软雅黑" w:hAnsi="微软雅黑" w:eastAsia="微软雅黑"/>
                <w:b/>
                <w:color w:val="142B4A"/>
                <w:sz w:val="19"/>
              </w:rPr>
              <w:t>杨浦区科技企业联合会</w:t>
            </w:r>
          </w:p>
          <w:p>
            <w:pPr>
              <w:spacing w:after="0"/>
            </w:pPr>
            <w:r>
              <w:rPr>
                <w:rFonts w:ascii="微软雅黑" w:hAnsi="微软雅黑" w:eastAsia="微软雅黑"/>
                <w:b w:val="0"/>
                <w:color w:val="5C6670"/>
                <w:sz w:val="16"/>
              </w:rPr>
              <w:t>执行会长（公开报道可核验）</w:t>
            </w:r>
          </w:p>
        </w:tc>
        <w:tc>
          <w:tcPr>
            <w:tcW w:type="dxa" w:w="3430"/>
            <w:shd w:fill="F3F6FA" w:val="clear"/>
            <w:tcBorders>
              <w:top w:val="single" w:sz="4" w:color="D5DDE8" w:space="0"/>
              <w:left w:val="single" w:sz="4" w:color="D5DDE8" w:space="0"/>
              <w:bottom w:val="single" w:sz="4" w:color="D5DDE8" w:space="0"/>
              <w:right w:val="single" w:sz="4" w:color="D5DDE8" w:space="0"/>
            </w:tcBorders>
            <w:tcMar>
              <w:top w:w="60" w:type="dxa"/>
              <w:left w:w="70" w:type="dxa"/>
              <w:bottom w:w="60" w:type="dxa"/>
              <w:right w:w="70" w:type="dxa"/>
            </w:tcMar>
            <w:vAlign w:val="top"/>
          </w:tcPr>
          <w:p>
            <w:r/>
          </w:p>
          <w:p>
            <w:pPr>
              <w:spacing w:after="20" w:line="259" w:lineRule="auto"/>
              <w:jc w:val="left"/>
            </w:pPr>
            <w:r>
              <w:rPr>
                <w:rFonts w:ascii="微软雅黑" w:hAnsi="微软雅黑" w:eastAsia="微软雅黑"/>
                <w:b/>
                <w:color w:val="142B4A"/>
                <w:sz w:val="19"/>
              </w:rPr>
              <w:t>复旦不动产资管协会</w:t>
            </w:r>
          </w:p>
          <w:p>
            <w:pPr>
              <w:spacing w:after="0"/>
            </w:pPr>
            <w:r>
              <w:rPr>
                <w:rFonts w:ascii="微软雅黑" w:hAnsi="微软雅黑" w:eastAsia="微软雅黑"/>
                <w:b w:val="0"/>
                <w:color w:val="5C6670"/>
                <w:sz w:val="16"/>
              </w:rPr>
              <w:t>创始参与（2018/2019）</w:t>
            </w:r>
          </w:p>
        </w:tc>
        <w:tc>
          <w:tcPr>
            <w:tcW w:type="dxa" w:w="3458"/>
            <w:shd w:fill="F3F6FA" w:val="clear"/>
            <w:tcBorders>
              <w:top w:val="single" w:sz="4" w:color="D5DDE8" w:space="0"/>
              <w:left w:val="single" w:sz="4" w:color="D5DDE8" w:space="0"/>
              <w:bottom w:val="single" w:sz="4" w:color="D5DDE8" w:space="0"/>
              <w:right w:val="single" w:sz="4" w:color="D5DDE8" w:space="0"/>
            </w:tcBorders>
            <w:tcMar>
              <w:top w:w="60" w:type="dxa"/>
              <w:left w:w="70" w:type="dxa"/>
              <w:bottom w:w="60" w:type="dxa"/>
              <w:right w:w="70" w:type="dxa"/>
            </w:tcMar>
            <w:vAlign w:val="top"/>
          </w:tcPr>
          <w:p>
            <w:r/>
          </w:p>
          <w:p>
            <w:pPr>
              <w:spacing w:after="20" w:line="259" w:lineRule="auto"/>
              <w:jc w:val="left"/>
            </w:pPr>
            <w:r>
              <w:rPr>
                <w:rFonts w:ascii="微软雅黑" w:hAnsi="微软雅黑" w:eastAsia="微软雅黑"/>
                <w:b/>
                <w:color w:val="142B4A"/>
                <w:sz w:val="19"/>
              </w:rPr>
              <w:t>工商联房地产商会</w:t>
            </w:r>
          </w:p>
          <w:p>
            <w:pPr>
              <w:spacing w:after="0"/>
            </w:pPr>
            <w:r>
              <w:rPr>
                <w:rFonts w:ascii="微软雅黑" w:hAnsi="微软雅黑" w:eastAsia="微软雅黑"/>
                <w:b w:val="0"/>
                <w:color w:val="5C6670"/>
                <w:sz w:val="16"/>
              </w:rPr>
              <w:t>中心合作与活动出席</w:t>
            </w:r>
          </w:p>
        </w:tc>
      </w:tr>
      <w:tr>
        <w:tc>
          <w:tcPr>
            <w:tcW w:type="dxa" w:w="3430"/>
            <w:shd w:fill="F3F6FA" w:val="clear"/>
            <w:tcBorders>
              <w:top w:val="single" w:sz="4" w:color="D5DDE8" w:space="0"/>
              <w:left w:val="single" w:sz="4" w:color="D5DDE8" w:space="0"/>
              <w:bottom w:val="single" w:sz="4" w:color="D5DDE8" w:space="0"/>
              <w:right w:val="single" w:sz="4" w:color="D5DDE8" w:space="0"/>
            </w:tcBorders>
            <w:tcMar>
              <w:top w:w="60" w:type="dxa"/>
              <w:left w:w="70" w:type="dxa"/>
              <w:bottom w:w="60" w:type="dxa"/>
              <w:right w:w="70" w:type="dxa"/>
            </w:tcMar>
            <w:vAlign w:val="top"/>
          </w:tcPr>
          <w:p>
            <w:r/>
          </w:p>
          <w:p>
            <w:pPr>
              <w:spacing w:after="20" w:line="259" w:lineRule="auto"/>
              <w:jc w:val="left"/>
            </w:pPr>
            <w:r>
              <w:rPr>
                <w:rFonts w:ascii="微软雅黑" w:hAnsi="微软雅黑" w:eastAsia="微软雅黑"/>
                <w:b/>
                <w:color w:val="142B4A"/>
                <w:sz w:val="19"/>
              </w:rPr>
              <w:t>上海山东省商会</w:t>
            </w:r>
          </w:p>
          <w:p>
            <w:pPr>
              <w:spacing w:after="0"/>
            </w:pPr>
            <w:r>
              <w:rPr>
                <w:rFonts w:ascii="微软雅黑" w:hAnsi="微软雅黑" w:eastAsia="微软雅黑"/>
                <w:b w:val="0"/>
                <w:color w:val="5C6670"/>
                <w:sz w:val="16"/>
              </w:rPr>
              <w:t>理事（原稿自述，待核）</w:t>
            </w:r>
          </w:p>
        </w:tc>
        <w:tc>
          <w:tcPr>
            <w:tcW w:type="dxa" w:w="3430"/>
            <w:shd w:fill="F3F6FA" w:val="clear"/>
            <w:tcBorders>
              <w:top w:val="single" w:sz="4" w:color="D5DDE8" w:space="0"/>
              <w:left w:val="single" w:sz="4" w:color="D5DDE8" w:space="0"/>
              <w:bottom w:val="single" w:sz="4" w:color="D5DDE8" w:space="0"/>
              <w:right w:val="single" w:sz="4" w:color="D5DDE8" w:space="0"/>
            </w:tcBorders>
            <w:tcMar>
              <w:top w:w="60" w:type="dxa"/>
              <w:left w:w="70" w:type="dxa"/>
              <w:bottom w:w="60" w:type="dxa"/>
              <w:right w:w="70" w:type="dxa"/>
            </w:tcMar>
            <w:vAlign w:val="top"/>
          </w:tcPr>
          <w:p>
            <w:r/>
          </w:p>
          <w:p>
            <w:pPr>
              <w:spacing w:after="20" w:line="259" w:lineRule="auto"/>
              <w:jc w:val="left"/>
            </w:pPr>
            <w:r>
              <w:rPr>
                <w:rFonts w:ascii="微软雅黑" w:hAnsi="微软雅黑" w:eastAsia="微软雅黑"/>
                <w:b/>
                <w:color w:val="142B4A"/>
                <w:sz w:val="19"/>
              </w:rPr>
              <w:t>复旦研究生管理联考</w:t>
            </w:r>
          </w:p>
          <w:p>
            <w:pPr>
              <w:spacing w:after="0"/>
            </w:pPr>
            <w:r>
              <w:rPr>
                <w:rFonts w:ascii="微软雅黑" w:hAnsi="微软雅黑" w:eastAsia="微软雅黑"/>
                <w:b w:val="0"/>
                <w:color w:val="5C6670"/>
                <w:sz w:val="16"/>
              </w:rPr>
              <w:t>面试官（原稿自述，待核）</w:t>
            </w:r>
          </w:p>
        </w:tc>
        <w:tc>
          <w:tcPr>
            <w:tcW w:type="dxa" w:w="3458"/>
            <w:shd w:fill="F3F6FA" w:val="clear"/>
            <w:tcBorders>
              <w:top w:val="single" w:sz="4" w:color="D5DDE8" w:space="0"/>
              <w:left w:val="single" w:sz="4" w:color="D5DDE8" w:space="0"/>
              <w:bottom w:val="single" w:sz="4" w:color="D5DDE8" w:space="0"/>
              <w:right w:val="single" w:sz="4" w:color="D5DDE8" w:space="0"/>
            </w:tcBorders>
            <w:tcMar>
              <w:top w:w="60" w:type="dxa"/>
              <w:left w:w="70" w:type="dxa"/>
              <w:bottom w:w="60" w:type="dxa"/>
              <w:right w:w="70" w:type="dxa"/>
            </w:tcMar>
            <w:vAlign w:val="top"/>
          </w:tcPr>
          <w:p>
            <w:r/>
          </w:p>
          <w:p>
            <w:pPr>
              <w:spacing w:after="20" w:line="259" w:lineRule="auto"/>
              <w:jc w:val="left"/>
            </w:pPr>
            <w:r>
              <w:rPr>
                <w:rFonts w:ascii="微软雅黑" w:hAnsi="微软雅黑" w:eastAsia="微软雅黑"/>
                <w:b/>
                <w:color w:val="142B4A"/>
                <w:sz w:val="19"/>
              </w:rPr>
              <w:t>评审专家</w:t>
            </w:r>
          </w:p>
          <w:p>
            <w:pPr>
              <w:spacing w:after="0"/>
            </w:pPr>
            <w:r>
              <w:rPr>
                <w:rFonts w:ascii="微软雅黑" w:hAnsi="微软雅黑" w:eastAsia="微软雅黑"/>
                <w:b w:val="0"/>
                <w:color w:val="5C6670"/>
                <w:sz w:val="16"/>
              </w:rPr>
              <w:t>城市更新研究会、节能减排工程技术协会等</w:t>
            </w:r>
          </w:p>
        </w:tc>
      </w:tr>
    </w:tbl>
    <w:p>
      <w:pPr>
        <w:spacing w:before="80" w:after="40" w:line="269" w:lineRule="auto"/>
      </w:pPr>
      <w:r>
        <w:rPr>
          <w:rFonts w:ascii="微软雅黑" w:hAnsi="微软雅黑" w:eastAsia="微软雅黑"/>
          <w:b w:val="0"/>
          <w:color w:val="5C6670"/>
          <w:sz w:val="16"/>
        </w:rPr>
        <w:t>社会职务与复旦中心拆开书写。工商联房地产商会原稿标题写「秘书长」、正文或作「副秘书长」；官网现任秘书长为李祥，本版不写入现任。复旦 MBA 不动产资管协会现任秘书长公开为武金城。</w:t>
      </w:r>
    </w:p>
    <w:p>
      <w:pPr>
        <w:spacing w:before="160" w:after="20" w:line="269" w:lineRule="auto"/>
      </w:pPr>
      <w:r>
        <w:rPr>
          <w:rFonts w:ascii="微软雅黑" w:hAnsi="微软雅黑" w:eastAsia="微软雅黑"/>
          <w:b/>
          <w:color w:val="142B4A"/>
          <w:sz w:val="24"/>
        </w:rPr>
        <w:t>专业经历</w:t>
      </w:r>
    </w:p>
    <w:p>
      <w:pPr>
        <w:spacing w:before="0" w:after="80"/>
        <w:pBdr>
          <w:bottom w:val="single" w:sz="14" w:space="1" w:color="C48A2B"/>
        </w:pBdr>
      </w:pPr>
    </w:p>
    <w:tbl>
      <w:tblPr>
        <w:tblW w:type="auto" w:w="0"/>
        <w:jc w:val="center"/>
        <w:tblLayout w:type="fixed"/>
        <w:tblLook w:firstColumn="1" w:firstRow="1" w:lastColumn="0" w:lastRow="0" w:noHBand="0" w:noVBand="1" w:val="04A0"/>
      </w:tblPr>
      <w:tblGrid>
        <w:gridCol w:w="5159"/>
        <w:gridCol w:w="5159"/>
      </w:tblGrid>
      <w:tr>
        <w:tc>
          <w:tcPr>
            <w:tcW w:type="dxa" w:w="7143"/>
            <w:tcBorders>
              <w:top w:val="single" w:sz="0" w:color="FFFFFF" w:space="0"/>
              <w:left w:val="single" w:sz="0" w:color="FFFFFF" w:space="0"/>
              <w:bottom w:val="single" w:sz="0" w:color="FFFFFF" w:space="0"/>
              <w:right w:val="single" w:sz="0" w:color="FFFFFF" w:space="0"/>
            </w:tcBorders>
            <w:tcMar>
              <w:top w:w="20" w:type="dxa"/>
              <w:left w:w="0" w:type="dxa"/>
              <w:bottom w:w="20" w:type="dxa"/>
              <w:right w:w="40" w:type="dxa"/>
            </w:tcMar>
          </w:tcPr>
          <w:p>
            <w:pPr>
              <w:spacing w:after="0"/>
            </w:pPr>
            <w:r/>
            <w:r>
              <w:rPr>
                <w:rFonts w:ascii="微软雅黑" w:hAnsi="微软雅黑" w:eastAsia="微软雅黑"/>
                <w:b/>
                <w:color w:val="142B4A"/>
                <w:sz w:val="21"/>
              </w:rPr>
              <w:t>万科企业股份有限公司 · 上海区域</w:t>
            </w:r>
            <w:r>
              <w:rPr>
                <w:rFonts w:ascii="微软雅黑" w:hAnsi="微软雅黑" w:eastAsia="微软雅黑"/>
                <w:b w:val="0"/>
                <w:color w:val="5C6670"/>
                <w:sz w:val="19"/>
              </w:rPr>
              <w:t xml:space="preserve">  |  江浙事业部投资副总经理</w:t>
            </w:r>
          </w:p>
        </w:tc>
        <w:tc>
          <w:tcPr>
            <w:tcW w:type="dxa" w:w="2835"/>
            <w:tcBorders>
              <w:top w:val="single" w:sz="0" w:color="FFFFFF" w:space="0"/>
              <w:left w:val="single" w:sz="0" w:color="FFFFFF" w:space="0"/>
              <w:bottom w:val="single" w:sz="0" w:color="FFFFFF" w:space="0"/>
              <w:right w:val="single" w:sz="0" w:color="FFFFFF" w:space="0"/>
            </w:tcBorders>
            <w:tcMar>
              <w:top w:w="20" w:type="dxa"/>
              <w:left w:w="40" w:type="dxa"/>
              <w:bottom w:w="20" w:type="dxa"/>
              <w:right w:w="0" w:type="dxa"/>
            </w:tcMar>
          </w:tcPr>
          <w:p>
            <w:pPr>
              <w:spacing w:after="0"/>
              <w:jc w:val="right"/>
            </w:pPr>
            <w:r/>
            <w:r>
              <w:rPr>
                <w:rFonts w:ascii="微软雅黑" w:hAnsi="微软雅黑" w:eastAsia="微软雅黑"/>
                <w:b/>
                <w:color w:val="C48A2B"/>
                <w:sz w:val="19"/>
              </w:rPr>
              <w:t>2017.03 – 2021.06</w:t>
            </w:r>
          </w:p>
        </w:tc>
      </w:tr>
    </w:tbl>
    <w:p>
      <w:pPr>
        <w:spacing w:before="40" w:after="40" w:line="269" w:lineRule="auto"/>
      </w:pPr>
      <w:r>
        <w:rPr>
          <w:rFonts w:ascii="微软雅黑" w:hAnsi="微软雅黑" w:eastAsia="微软雅黑"/>
          <w:b w:val="0"/>
          <w:color w:val="5C6670"/>
          <w:sz w:val="18"/>
        </w:rPr>
        <w:t>上海。汇报投资合作开发部总经理。直接下属约 8 人。</w:t>
      </w:r>
    </w:p>
    <w:p>
      <w:pPr>
        <w:spacing w:before="0" w:after="30" w:line="269" w:lineRule="auto"/>
        <w:ind w:left="181" w:hanging="181"/>
      </w:pPr>
      <w:r>
        <w:rPr>
          <w:rFonts w:ascii="微软雅黑" w:hAnsi="微软雅黑" w:eastAsia="微软雅黑"/>
          <w:b w:val="0"/>
          <w:color w:val="2C333A"/>
          <w:sz w:val="19"/>
        </w:rPr>
        <w:t>•  负责长三角江浙沪重大项目投资拓展，覆盖收并购、策略勾地、不良处置与国资合作。</w:t>
      </w:r>
    </w:p>
    <w:p>
      <w:pPr>
        <w:spacing w:before="0" w:after="30" w:line="269" w:lineRule="auto"/>
        <w:ind w:left="181" w:hanging="181"/>
      </w:pPr>
      <w:r>
        <w:rPr>
          <w:rFonts w:ascii="微软雅黑" w:hAnsi="微软雅黑" w:eastAsia="微软雅黑"/>
          <w:b w:val="0"/>
          <w:color w:val="2C333A"/>
          <w:sz w:val="19"/>
        </w:rPr>
        <w:t>•  靖江印象城（2017.10）：勾地 + 印力委管，约 15 亿元 / 556 亩，自持购物中心约 7 万方。</w:t>
      </w:r>
    </w:p>
    <w:p>
      <w:pPr>
        <w:spacing w:before="0" w:after="30" w:line="269" w:lineRule="auto"/>
        <w:ind w:left="181" w:hanging="181"/>
      </w:pPr>
      <w:r>
        <w:rPr>
          <w:rFonts w:ascii="微软雅黑" w:hAnsi="微软雅黑" w:eastAsia="微软雅黑"/>
          <w:b w:val="0"/>
          <w:color w:val="2C333A"/>
          <w:sz w:val="19"/>
        </w:rPr>
        <w:t>•  常州金坛理想城：约 28.05 亿元 / 561 亩，底价获取。</w:t>
      </w:r>
    </w:p>
    <w:p>
      <w:pPr>
        <w:spacing w:before="0" w:after="30" w:line="269" w:lineRule="auto"/>
        <w:ind w:left="181" w:hanging="181"/>
      </w:pPr>
      <w:r>
        <w:rPr>
          <w:rFonts w:ascii="微软雅黑" w:hAnsi="微软雅黑" w:eastAsia="微软雅黑"/>
          <w:b w:val="0"/>
          <w:color w:val="2C333A"/>
          <w:sz w:val="19"/>
        </w:rPr>
        <w:t>•  镇江大港金域蓝湾：收并购 + 与大港集团各半合作，约 199 亩 / 32 万方。</w:t>
      </w:r>
    </w:p>
    <w:p>
      <w:pPr>
        <w:spacing w:before="0" w:after="30" w:line="269" w:lineRule="auto"/>
        <w:ind w:left="181" w:hanging="181"/>
      </w:pPr>
      <w:r>
        <w:rPr>
          <w:rFonts w:ascii="微软雅黑" w:hAnsi="微软雅黑" w:eastAsia="微软雅黑"/>
          <w:b w:val="0"/>
          <w:color w:val="2C333A"/>
          <w:sz w:val="19"/>
        </w:rPr>
        <w:t>•  嘉兴海宁商住代建：18.53 亿元 / 约 23 万㎡；上海龙湖滟澜山法拍，测算 IRR 约 16.16%。</w:t>
      </w:r>
    </w:p>
    <w:p>
      <w:pPr>
        <w:spacing w:before="0" w:after="30" w:line="269" w:lineRule="auto"/>
        <w:ind w:left="181" w:hanging="181"/>
      </w:pPr>
      <w:r>
        <w:rPr>
          <w:rFonts w:ascii="微软雅黑" w:hAnsi="微软雅黑" w:eastAsia="微软雅黑"/>
          <w:b w:val="0"/>
          <w:color w:val="2C333A"/>
          <w:sz w:val="19"/>
        </w:rPr>
        <w:t>•  主导获取并落地万纬嘉兴平湖、上海奉贤南桥冷链物流园；推动进入盐城、台州、常州金坛。</w:t>
      </w:r>
    </w:p>
    <w:p>
      <w:r>
        <w:br w:type="page"/>
      </w:r>
    </w:p>
    <w:p>
      <w:pPr>
        <w:spacing w:before="160" w:after="20" w:line="269" w:lineRule="auto"/>
      </w:pPr>
      <w:r>
        <w:rPr>
          <w:rFonts w:ascii="微软雅黑" w:hAnsi="微软雅黑" w:eastAsia="微软雅黑"/>
          <w:b/>
          <w:color w:val="142B4A"/>
          <w:sz w:val="24"/>
        </w:rPr>
        <w:t>专业经历（续）</w:t>
      </w:r>
    </w:p>
    <w:p>
      <w:pPr>
        <w:spacing w:before="0" w:after="80"/>
        <w:pBdr>
          <w:bottom w:val="single" w:sz="14" w:space="1" w:color="C48A2B"/>
        </w:pBdr>
      </w:pPr>
    </w:p>
    <w:tbl>
      <w:tblPr>
        <w:tblW w:type="auto" w:w="0"/>
        <w:jc w:val="center"/>
        <w:tblLayout w:type="fixed"/>
        <w:tblLook w:firstColumn="1" w:firstRow="1" w:lastColumn="0" w:lastRow="0" w:noHBand="0" w:noVBand="1" w:val="04A0"/>
      </w:tblPr>
      <w:tblGrid>
        <w:gridCol w:w="5159"/>
        <w:gridCol w:w="5159"/>
      </w:tblGrid>
      <w:tr>
        <w:tc>
          <w:tcPr>
            <w:tcW w:type="dxa" w:w="7143"/>
            <w:tcBorders>
              <w:top w:val="single" w:sz="0" w:color="FFFFFF" w:space="0"/>
              <w:left w:val="single" w:sz="0" w:color="FFFFFF" w:space="0"/>
              <w:bottom w:val="single" w:sz="0" w:color="FFFFFF" w:space="0"/>
              <w:right w:val="single" w:sz="0" w:color="FFFFFF" w:space="0"/>
            </w:tcBorders>
            <w:tcMar>
              <w:top w:w="20" w:type="dxa"/>
              <w:left w:w="0" w:type="dxa"/>
              <w:bottom w:w="20" w:type="dxa"/>
              <w:right w:w="40" w:type="dxa"/>
            </w:tcMar>
          </w:tcPr>
          <w:p>
            <w:pPr>
              <w:spacing w:after="0"/>
            </w:pPr>
            <w:r/>
            <w:r>
              <w:rPr>
                <w:rFonts w:ascii="微软雅黑" w:hAnsi="微软雅黑" w:eastAsia="微软雅黑"/>
                <w:b/>
                <w:color w:val="142B4A"/>
                <w:sz w:val="21"/>
              </w:rPr>
              <w:t>新城控股集团股份有限公司 · 总部战略投资中心</w:t>
            </w:r>
            <w:r>
              <w:rPr>
                <w:rFonts w:ascii="微软雅黑" w:hAnsi="微软雅黑" w:eastAsia="微软雅黑"/>
                <w:b w:val="0"/>
                <w:color w:val="5C6670"/>
                <w:sz w:val="19"/>
              </w:rPr>
              <w:t xml:space="preserve">  |  投资拓展资深专业经理</w:t>
            </w:r>
          </w:p>
        </w:tc>
        <w:tc>
          <w:tcPr>
            <w:tcW w:type="dxa" w:w="2835"/>
            <w:tcBorders>
              <w:top w:val="single" w:sz="0" w:color="FFFFFF" w:space="0"/>
              <w:left w:val="single" w:sz="0" w:color="FFFFFF" w:space="0"/>
              <w:bottom w:val="single" w:sz="0" w:color="FFFFFF" w:space="0"/>
              <w:right w:val="single" w:sz="0" w:color="FFFFFF" w:space="0"/>
            </w:tcBorders>
            <w:tcMar>
              <w:top w:w="20" w:type="dxa"/>
              <w:left w:w="40" w:type="dxa"/>
              <w:bottom w:w="20" w:type="dxa"/>
              <w:right w:w="0" w:type="dxa"/>
            </w:tcMar>
          </w:tcPr>
          <w:p>
            <w:pPr>
              <w:spacing w:after="0"/>
              <w:jc w:val="right"/>
            </w:pPr>
            <w:r/>
            <w:r>
              <w:rPr>
                <w:rFonts w:ascii="微软雅黑" w:hAnsi="微软雅黑" w:eastAsia="微软雅黑"/>
                <w:b/>
                <w:color w:val="C48A2B"/>
                <w:sz w:val="19"/>
              </w:rPr>
              <w:t>2015.11 – 2017.02</w:t>
            </w:r>
          </w:p>
        </w:tc>
      </w:tr>
    </w:tbl>
    <w:p>
      <w:pPr>
        <w:spacing w:before="0" w:after="30" w:line="269" w:lineRule="auto"/>
        <w:ind w:left="181" w:hanging="181"/>
      </w:pPr>
      <w:r>
        <w:rPr>
          <w:rFonts w:ascii="微软雅黑" w:hAnsi="微软雅黑" w:eastAsia="微软雅黑"/>
          <w:b w:val="0"/>
          <w:color w:val="2C333A"/>
          <w:sz w:val="19"/>
        </w:rPr>
        <w:t>•  负责山东、江苏等区域战略布局与土地获取。</w:t>
      </w:r>
    </w:p>
    <w:p>
      <w:pPr>
        <w:spacing w:before="0" w:after="30" w:line="269" w:lineRule="auto"/>
        <w:ind w:left="181" w:hanging="181"/>
      </w:pPr>
      <w:r>
        <w:rPr>
          <w:rFonts w:ascii="微软雅黑" w:hAnsi="微软雅黑" w:eastAsia="微软雅黑"/>
          <w:b w:val="0"/>
          <w:color w:val="2C333A"/>
          <w:sz w:val="19"/>
        </w:rPr>
        <w:t>•  主导临沂新城吾悦广场勾地，对接市级重点招商政策，系集团首进山东的重资产项目。</w:t>
      </w:r>
    </w:p>
    <w:p>
      <w:pPr>
        <w:spacing w:before="0" w:after="30" w:line="269" w:lineRule="auto"/>
        <w:ind w:left="181" w:hanging="181"/>
      </w:pPr>
      <w:r>
        <w:rPr>
          <w:rFonts w:ascii="微软雅黑" w:hAnsi="微软雅黑" w:eastAsia="微软雅黑"/>
          <w:b w:val="0"/>
          <w:color w:val="2C333A"/>
          <w:sz w:val="19"/>
        </w:rPr>
        <w:t>•  以轻资产模式获取青岛新城吾悦广场（品牌输出 + 委管，约 13.68 万㎡）。</w:t>
      </w:r>
    </w:p>
    <w:tbl>
      <w:tblPr>
        <w:tblW w:type="auto" w:w="0"/>
        <w:jc w:val="center"/>
        <w:tblLayout w:type="fixed"/>
        <w:tblLook w:firstColumn="1" w:firstRow="1" w:lastColumn="0" w:lastRow="0" w:noHBand="0" w:noVBand="1" w:val="04A0"/>
      </w:tblPr>
      <w:tblGrid>
        <w:gridCol w:w="5159"/>
        <w:gridCol w:w="5159"/>
      </w:tblGrid>
      <w:tr>
        <w:tc>
          <w:tcPr>
            <w:tcW w:type="dxa" w:w="7143"/>
            <w:tcBorders>
              <w:top w:val="single" w:sz="0" w:color="FFFFFF" w:space="0"/>
              <w:left w:val="single" w:sz="0" w:color="FFFFFF" w:space="0"/>
              <w:bottom w:val="single" w:sz="0" w:color="FFFFFF" w:space="0"/>
              <w:right w:val="single" w:sz="0" w:color="FFFFFF" w:space="0"/>
            </w:tcBorders>
            <w:tcMar>
              <w:top w:w="20" w:type="dxa"/>
              <w:left w:w="0" w:type="dxa"/>
              <w:bottom w:w="20" w:type="dxa"/>
              <w:right w:w="40" w:type="dxa"/>
            </w:tcMar>
          </w:tcPr>
          <w:p>
            <w:pPr>
              <w:spacing w:after="0"/>
            </w:pPr>
            <w:r/>
            <w:r>
              <w:rPr>
                <w:rFonts w:ascii="微软雅黑" w:hAnsi="微软雅黑" w:eastAsia="微软雅黑"/>
                <w:b/>
                <w:color w:val="142B4A"/>
                <w:sz w:val="21"/>
              </w:rPr>
              <w:t>中南建设集团 / 中南控股集团</w:t>
            </w:r>
            <w:r>
              <w:rPr>
                <w:rFonts w:ascii="微软雅黑" w:hAnsi="微软雅黑" w:eastAsia="微软雅黑"/>
                <w:b w:val="0"/>
                <w:color w:val="5C6670"/>
                <w:sz w:val="19"/>
              </w:rPr>
              <w:t xml:space="preserve">  |  投资拓展经理 / 战略企划管理主管</w:t>
            </w:r>
          </w:p>
        </w:tc>
        <w:tc>
          <w:tcPr>
            <w:tcW w:type="dxa" w:w="2835"/>
            <w:tcBorders>
              <w:top w:val="single" w:sz="0" w:color="FFFFFF" w:space="0"/>
              <w:left w:val="single" w:sz="0" w:color="FFFFFF" w:space="0"/>
              <w:bottom w:val="single" w:sz="0" w:color="FFFFFF" w:space="0"/>
              <w:right w:val="single" w:sz="0" w:color="FFFFFF" w:space="0"/>
            </w:tcBorders>
            <w:tcMar>
              <w:top w:w="20" w:type="dxa"/>
              <w:left w:w="40" w:type="dxa"/>
              <w:bottom w:w="20" w:type="dxa"/>
              <w:right w:w="0" w:type="dxa"/>
            </w:tcMar>
          </w:tcPr>
          <w:p>
            <w:pPr>
              <w:spacing w:after="0"/>
              <w:jc w:val="right"/>
            </w:pPr>
            <w:r/>
            <w:r>
              <w:rPr>
                <w:rFonts w:ascii="微软雅黑" w:hAnsi="微软雅黑" w:eastAsia="微软雅黑"/>
                <w:b/>
                <w:color w:val="C48A2B"/>
                <w:sz w:val="19"/>
              </w:rPr>
              <w:t>2011.06 – 2015.10</w:t>
            </w:r>
          </w:p>
        </w:tc>
      </w:tr>
    </w:tbl>
    <w:p>
      <w:pPr>
        <w:spacing w:before="40" w:after="40" w:line="269" w:lineRule="auto"/>
      </w:pPr>
      <w:r>
        <w:rPr>
          <w:rFonts w:ascii="微软雅黑" w:hAnsi="微软雅黑" w:eastAsia="微软雅黑"/>
          <w:b w:val="0"/>
          <w:color w:val="5C6670"/>
          <w:sz w:val="18"/>
        </w:rPr>
        <w:t>上海 / 南通。2011.06–2012.10 总裁办战略企划；其后新项目发展中心。</w:t>
      </w:r>
    </w:p>
    <w:p>
      <w:pPr>
        <w:spacing w:before="0" w:after="30" w:line="269" w:lineRule="auto"/>
        <w:ind w:left="181" w:hanging="181"/>
      </w:pPr>
      <w:r>
        <w:rPr>
          <w:rFonts w:ascii="微软雅黑" w:hAnsi="微软雅黑" w:eastAsia="微软雅黑"/>
          <w:b w:val="0"/>
          <w:color w:val="2C333A"/>
          <w:sz w:val="19"/>
        </w:rPr>
        <w:t>•  从集团战略企划到项目投资拓展的完整历练。</w:t>
      </w:r>
    </w:p>
    <w:p>
      <w:pPr>
        <w:spacing w:before="0" w:after="30" w:line="269" w:lineRule="auto"/>
        <w:ind w:left="181" w:hanging="181"/>
      </w:pPr>
      <w:r>
        <w:rPr>
          <w:rFonts w:ascii="微软雅黑" w:hAnsi="微软雅黑" w:eastAsia="微软雅黑"/>
          <w:b w:val="0"/>
          <w:color w:val="2C333A"/>
          <w:sz w:val="19"/>
        </w:rPr>
        <w:t>•  获取如皋中南世纪城、苏州中南锦苑；江阴白鹭湾与碧桂园同股同权合作。</w:t>
      </w:r>
    </w:p>
    <w:p>
      <w:pPr>
        <w:spacing w:before="0" w:after="30" w:line="269" w:lineRule="auto"/>
        <w:ind w:left="181" w:hanging="181"/>
      </w:pPr>
      <w:r>
        <w:rPr>
          <w:rFonts w:ascii="微软雅黑" w:hAnsi="微软雅黑" w:eastAsia="微软雅黑"/>
          <w:b w:val="0"/>
          <w:color w:val="2C333A"/>
          <w:sz w:val="19"/>
        </w:rPr>
        <w:t>•  推进美国养老、日本永旺等国际合作对接（推进中，非已签约落地）。2014 年底派驻四川任西南拓展负责人。</w:t>
      </w:r>
    </w:p>
    <w:p>
      <w:pPr>
        <w:spacing w:before="160" w:after="20" w:line="269" w:lineRule="auto"/>
      </w:pPr>
      <w:r>
        <w:rPr>
          <w:rFonts w:ascii="微软雅黑" w:hAnsi="微软雅黑" w:eastAsia="微软雅黑"/>
          <w:b/>
          <w:color w:val="142B4A"/>
          <w:sz w:val="24"/>
        </w:rPr>
        <w:t>社会职务说明</w:t>
      </w:r>
    </w:p>
    <w:p>
      <w:pPr>
        <w:spacing w:before="0" w:after="80"/>
        <w:pBdr>
          <w:bottom w:val="single" w:sz="14" w:space="1" w:color="C48A2B"/>
        </w:pBdr>
      </w:pPr>
    </w:p>
    <w:p>
      <w:pPr>
        <w:spacing w:before="0" w:after="30" w:line="269" w:lineRule="auto"/>
        <w:ind w:left="181" w:hanging="181"/>
      </w:pPr>
      <w:r>
        <w:rPr>
          <w:rFonts w:ascii="微软雅黑" w:hAnsi="微软雅黑" w:eastAsia="微软雅黑"/>
          <w:b w:val="0"/>
          <w:color w:val="2C333A"/>
          <w:sz w:val="19"/>
        </w:rPr>
        <w:t>•  杨浦科企联：主持日常运作与战略发展，策划科创项目评审、投融资对接与政策宣讲；2026.03 以执行会长身份参与「北欧创新国际会客厅」落户杨浦宝龙旭辉广场环创中心（区政府官网）。</w:t>
      </w:r>
    </w:p>
    <w:p>
      <w:pPr>
        <w:spacing w:before="0" w:after="30" w:line="269" w:lineRule="auto"/>
        <w:ind w:left="181" w:hanging="181"/>
      </w:pPr>
      <w:r>
        <w:rPr>
          <w:rFonts w:ascii="微软雅黑" w:hAnsi="微软雅黑" w:eastAsia="微软雅黑"/>
          <w:b w:val="0"/>
          <w:color w:val="2C333A"/>
          <w:sz w:val="19"/>
        </w:rPr>
        <w:t>•  工商联房地产商会：原稿写会员发展、行业培训、产业论坛与白皮书。公开活动以住房政策中心秘书长出席，不把商会秘书长写成现任。</w:t>
      </w:r>
    </w:p>
    <w:p>
      <w:pPr>
        <w:spacing w:before="0" w:after="30" w:line="269" w:lineRule="auto"/>
        <w:ind w:left="181" w:hanging="181"/>
      </w:pPr>
      <w:r>
        <w:rPr>
          <w:rFonts w:ascii="微软雅黑" w:hAnsi="微软雅黑" w:eastAsia="微软雅黑"/>
          <w:b w:val="0"/>
          <w:color w:val="2C333A"/>
          <w:sz w:val="19"/>
        </w:rPr>
        <w:t>•  复旦不动产资管协会：创立并运营面向校友的交流平台。现任秘书长请以院友会公布为准。</w:t>
      </w:r>
    </w:p>
    <w:p>
      <w:pPr>
        <w:spacing w:before="160" w:after="20" w:line="269" w:lineRule="auto"/>
      </w:pPr>
      <w:r>
        <w:rPr>
          <w:rFonts w:ascii="微软雅黑" w:hAnsi="微软雅黑" w:eastAsia="微软雅黑"/>
          <w:b/>
          <w:color w:val="142B4A"/>
          <w:sz w:val="24"/>
        </w:rPr>
        <w:t>代表项目</w:t>
      </w:r>
    </w:p>
    <w:p>
      <w:pPr>
        <w:spacing w:before="0" w:after="80"/>
        <w:pBdr>
          <w:bottom w:val="single" w:sz="14" w:space="1" w:color="C48A2B"/>
        </w:pBdr>
      </w:pPr>
    </w:p>
    <w:tbl>
      <w:tblPr>
        <w:tblW w:type="auto" w:w="0"/>
        <w:jc w:val="center"/>
        <w:tblLayout w:type="fixed"/>
        <w:tblLook w:firstColumn="1" w:firstRow="1" w:lastColumn="0" w:lastRow="0" w:noHBand="0" w:noVBand="1" w:val="04A0"/>
      </w:tblPr>
      <w:tblGrid>
        <w:gridCol w:w="2579"/>
        <w:gridCol w:w="2579"/>
        <w:gridCol w:w="2579"/>
        <w:gridCol w:w="2579"/>
      </w:tblGrid>
      <w:tr>
        <w:tc>
          <w:tcPr>
            <w:tcW w:type="dxa" w:w="249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142B4A" w:val="clear"/>
          </w:tcPr>
          <w:p>
            <w:r/>
          </w:p>
          <w:p>
            <w:pPr>
              <w:spacing w:after="0" w:line="259" w:lineRule="auto"/>
              <w:jc w:val="left"/>
            </w:pPr>
            <w:r>
              <w:rPr>
                <w:rFonts w:ascii="微软雅黑" w:hAnsi="微软雅黑" w:eastAsia="微软雅黑"/>
                <w:b/>
                <w:color w:val="FFFFFF"/>
                <w:sz w:val="17"/>
              </w:rPr>
              <w:t>项目</w:t>
            </w:r>
          </w:p>
        </w:tc>
        <w:tc>
          <w:tcPr>
            <w:tcW w:type="dxa" w:w="147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142B4A" w:val="clear"/>
          </w:tcPr>
          <w:p>
            <w:r/>
          </w:p>
          <w:p>
            <w:pPr>
              <w:spacing w:after="0" w:line="259" w:lineRule="auto"/>
              <w:jc w:val="left"/>
            </w:pPr>
            <w:r>
              <w:rPr>
                <w:rFonts w:ascii="微软雅黑" w:hAnsi="微软雅黑" w:eastAsia="微软雅黑"/>
                <w:b/>
                <w:color w:val="FFFFFF"/>
                <w:sz w:val="17"/>
              </w:rPr>
              <w:t>角色</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142B4A" w:val="clear"/>
          </w:tcPr>
          <w:p>
            <w:r/>
          </w:p>
          <w:p>
            <w:pPr>
              <w:spacing w:after="0" w:line="259" w:lineRule="auto"/>
              <w:jc w:val="left"/>
            </w:pPr>
            <w:r>
              <w:rPr>
                <w:rFonts w:ascii="微软雅黑" w:hAnsi="微软雅黑" w:eastAsia="微软雅黑"/>
                <w:b/>
                <w:color w:val="FFFFFF"/>
                <w:sz w:val="17"/>
              </w:rPr>
              <w:t>规模</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142B4A" w:val="clear"/>
          </w:tcPr>
          <w:p>
            <w:r/>
          </w:p>
          <w:p>
            <w:pPr>
              <w:spacing w:after="0" w:line="259" w:lineRule="auto"/>
              <w:jc w:val="left"/>
            </w:pPr>
            <w:r>
              <w:rPr>
                <w:rFonts w:ascii="微软雅黑" w:hAnsi="微软雅黑" w:eastAsia="微软雅黑"/>
                <w:b/>
                <w:color w:val="FFFFFF"/>
                <w:sz w:val="17"/>
              </w:rPr>
              <w:t>方式</w:t>
            </w:r>
          </w:p>
        </w:tc>
      </w:tr>
      <w:tr>
        <w:tc>
          <w:tcPr>
            <w:tcW w:type="dxa" w:w="249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color w:val="142B4A"/>
                <w:sz w:val="16"/>
              </w:rPr>
              <w:t>靖江印象城</w:t>
            </w:r>
          </w:p>
        </w:tc>
        <w:tc>
          <w:tcPr>
            <w:tcW w:type="dxa" w:w="147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主导获取</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约 15 亿 / 556 亩 / 购物中心约 7 万方</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勾地 + 印力委管</w:t>
            </w:r>
          </w:p>
        </w:tc>
      </w:tr>
      <w:tr>
        <w:tc>
          <w:tcPr>
            <w:tcW w:type="dxa" w:w="249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color w:val="142B4A"/>
                <w:sz w:val="16"/>
              </w:rPr>
              <w:t>金坛理想城</w:t>
            </w:r>
          </w:p>
        </w:tc>
        <w:tc>
          <w:tcPr>
            <w:tcW w:type="dxa" w:w="147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val="0"/>
                <w:color w:val="2C333A"/>
                <w:sz w:val="16"/>
              </w:rPr>
              <w:t>主导获取</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val="0"/>
                <w:color w:val="2C333A"/>
                <w:sz w:val="16"/>
              </w:rPr>
              <w:t>约 28.05 亿 / 561 亩</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val="0"/>
                <w:color w:val="2C333A"/>
                <w:sz w:val="16"/>
              </w:rPr>
              <w:t>收并购 + 债务重组，底价</w:t>
            </w:r>
          </w:p>
        </w:tc>
      </w:tr>
      <w:tr>
        <w:tc>
          <w:tcPr>
            <w:tcW w:type="dxa" w:w="249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color w:val="142B4A"/>
                <w:sz w:val="16"/>
              </w:rPr>
              <w:t>镇江大港金域蓝湾</w:t>
            </w:r>
          </w:p>
        </w:tc>
        <w:tc>
          <w:tcPr>
            <w:tcW w:type="dxa" w:w="147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主导</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约 199 亩 / 32 万方</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收并购 + 国资各半合作</w:t>
            </w:r>
          </w:p>
        </w:tc>
      </w:tr>
      <w:tr>
        <w:tc>
          <w:tcPr>
            <w:tcW w:type="dxa" w:w="249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color w:val="142B4A"/>
                <w:sz w:val="16"/>
              </w:rPr>
              <w:t>嘉兴海宁商住</w:t>
            </w:r>
          </w:p>
        </w:tc>
        <w:tc>
          <w:tcPr>
            <w:tcW w:type="dxa" w:w="147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val="0"/>
                <w:color w:val="2C333A"/>
                <w:sz w:val="16"/>
              </w:rPr>
              <w:t>拓展</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val="0"/>
                <w:color w:val="2C333A"/>
                <w:sz w:val="16"/>
              </w:rPr>
              <w:t>18.53 亿 / 约 23 万㎡</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val="0"/>
                <w:color w:val="2C333A"/>
                <w:sz w:val="16"/>
              </w:rPr>
              <w:t>政府代建</w:t>
            </w:r>
          </w:p>
        </w:tc>
      </w:tr>
      <w:tr>
        <w:tc>
          <w:tcPr>
            <w:tcW w:type="dxa" w:w="249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color w:val="142B4A"/>
                <w:sz w:val="16"/>
              </w:rPr>
              <w:t>上海龙湖滟澜山</w:t>
            </w:r>
          </w:p>
        </w:tc>
        <w:tc>
          <w:tcPr>
            <w:tcW w:type="dxa" w:w="147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收并购</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测算 IRR 约 16.16%</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法拍不良资产</w:t>
            </w:r>
          </w:p>
        </w:tc>
      </w:tr>
      <w:tr>
        <w:tc>
          <w:tcPr>
            <w:tcW w:type="dxa" w:w="249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color w:val="142B4A"/>
                <w:sz w:val="16"/>
              </w:rPr>
              <w:t>南桥 / 平湖冷链园</w:t>
            </w:r>
          </w:p>
        </w:tc>
        <w:tc>
          <w:tcPr>
            <w:tcW w:type="dxa" w:w="147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val="0"/>
                <w:color w:val="2C333A"/>
                <w:sz w:val="16"/>
              </w:rPr>
              <w:t>主导获取落地</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val="0"/>
                <w:color w:val="2C333A"/>
                <w:sz w:val="16"/>
              </w:rPr>
              <w:t>原稿未列总价</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val="0"/>
                <w:color w:val="2C333A"/>
                <w:sz w:val="16"/>
              </w:rPr>
              <w:t>物流产业园勾地 / 收购改造</w:t>
            </w:r>
          </w:p>
        </w:tc>
      </w:tr>
      <w:tr>
        <w:tc>
          <w:tcPr>
            <w:tcW w:type="dxa" w:w="249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color w:val="142B4A"/>
                <w:sz w:val="16"/>
              </w:rPr>
              <w:t>临沂新城吾悦广场</w:t>
            </w:r>
          </w:p>
        </w:tc>
        <w:tc>
          <w:tcPr>
            <w:tcW w:type="dxa" w:w="147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主导勾地</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原稿未列总价</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集团首进山东 · 重资产</w:t>
            </w:r>
          </w:p>
        </w:tc>
      </w:tr>
      <w:tr>
        <w:tc>
          <w:tcPr>
            <w:tcW w:type="dxa" w:w="249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color w:val="142B4A"/>
                <w:sz w:val="16"/>
              </w:rPr>
              <w:t>青岛新城吾悦广场</w:t>
            </w:r>
          </w:p>
        </w:tc>
        <w:tc>
          <w:tcPr>
            <w:tcW w:type="dxa" w:w="147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val="0"/>
                <w:color w:val="2C333A"/>
                <w:sz w:val="16"/>
              </w:rPr>
              <w:t>获取</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val="0"/>
                <w:color w:val="2C333A"/>
                <w:sz w:val="16"/>
              </w:rPr>
              <w:t>约 13.68 万㎡</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shd w:fill="F3F6FA" w:val="clear"/>
          </w:tcPr>
          <w:p>
            <w:r/>
          </w:p>
          <w:p>
            <w:pPr>
              <w:spacing w:after="0" w:line="259" w:lineRule="auto"/>
              <w:jc w:val="left"/>
            </w:pPr>
            <w:r>
              <w:rPr>
                <w:rFonts w:ascii="微软雅黑" w:hAnsi="微软雅黑" w:eastAsia="微软雅黑"/>
                <w:b w:val="0"/>
                <w:color w:val="2C333A"/>
                <w:sz w:val="16"/>
              </w:rPr>
              <w:t>轻资产委管</w:t>
            </w:r>
          </w:p>
        </w:tc>
      </w:tr>
      <w:tr>
        <w:tc>
          <w:tcPr>
            <w:tcW w:type="dxa" w:w="249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color w:val="142B4A"/>
                <w:sz w:val="16"/>
              </w:rPr>
              <w:t>如皋中南世纪城 / 苏州中南锦苑</w:t>
            </w:r>
          </w:p>
        </w:tc>
        <w:tc>
          <w:tcPr>
            <w:tcW w:type="dxa" w:w="1474"/>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获取</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原稿未列总价</w:t>
            </w:r>
          </w:p>
        </w:tc>
        <w:tc>
          <w:tcPr>
            <w:tcW w:type="dxa" w:w="3175"/>
            <w:tcBorders>
              <w:top w:val="single" w:sz="6" w:color="D5DDE8" w:space="0"/>
              <w:left w:val="single" w:sz="6" w:color="D5DDE8" w:space="0"/>
              <w:bottom w:val="single" w:sz="6" w:color="D5DDE8" w:space="0"/>
              <w:right w:val="single" w:sz="6" w:color="D5DDE8" w:space="0"/>
            </w:tcBorders>
            <w:tcMar>
              <w:top w:w="35" w:type="dxa"/>
              <w:left w:w="50" w:type="dxa"/>
              <w:bottom w:w="35" w:type="dxa"/>
              <w:right w:w="50" w:type="dxa"/>
            </w:tcMar>
          </w:tcPr>
          <w:p>
            <w:r/>
          </w:p>
          <w:p>
            <w:pPr>
              <w:spacing w:after="0" w:line="259" w:lineRule="auto"/>
              <w:jc w:val="left"/>
            </w:pPr>
            <w:r>
              <w:rPr>
                <w:rFonts w:ascii="微软雅黑" w:hAnsi="微软雅黑" w:eastAsia="微软雅黑"/>
                <w:b w:val="0"/>
                <w:color w:val="2C333A"/>
                <w:sz w:val="16"/>
              </w:rPr>
              <w:t>早期投资拓展</w:t>
            </w:r>
          </w:p>
        </w:tc>
      </w:tr>
    </w:tbl>
    <w:p>
      <w:pPr>
        <w:spacing w:before="160" w:after="20" w:line="269" w:lineRule="auto"/>
      </w:pPr>
      <w:r>
        <w:rPr>
          <w:rFonts w:ascii="微软雅黑" w:hAnsi="微软雅黑" w:eastAsia="微软雅黑"/>
          <w:b/>
          <w:color w:val="142B4A"/>
          <w:sz w:val="24"/>
        </w:rPr>
        <w:t>教育背景</w:t>
      </w:r>
    </w:p>
    <w:p>
      <w:pPr>
        <w:spacing w:before="0" w:after="80"/>
        <w:pBdr>
          <w:bottom w:val="single" w:sz="14" w:space="1" w:color="C48A2B"/>
        </w:pBdr>
      </w:pPr>
    </w:p>
    <w:tbl>
      <w:tblPr>
        <w:tblW w:type="auto" w:w="0"/>
        <w:jc w:val="center"/>
        <w:tblLayout w:type="fixed"/>
        <w:tblLook w:firstColumn="1" w:firstRow="1" w:lastColumn="0" w:lastRow="0" w:noHBand="0" w:noVBand="1" w:val="04A0"/>
      </w:tblPr>
      <w:tblGrid>
        <w:gridCol w:w="5159"/>
        <w:gridCol w:w="5159"/>
      </w:tblGrid>
      <w:tr>
        <w:tc>
          <w:tcPr>
            <w:tcW w:type="dxa" w:w="7143"/>
            <w:tcBorders>
              <w:top w:val="single" w:sz="0" w:color="FFFFFF" w:space="0"/>
              <w:left w:val="single" w:sz="0" w:color="FFFFFF" w:space="0"/>
              <w:bottom w:val="single" w:sz="0" w:color="FFFFFF" w:space="0"/>
              <w:right w:val="single" w:sz="0" w:color="FFFFFF" w:space="0"/>
            </w:tcBorders>
            <w:tcMar>
              <w:top w:w="20" w:type="dxa"/>
              <w:left w:w="0" w:type="dxa"/>
              <w:bottom w:w="20" w:type="dxa"/>
              <w:right w:w="40" w:type="dxa"/>
            </w:tcMar>
          </w:tcPr>
          <w:p>
            <w:pPr>
              <w:spacing w:after="0"/>
            </w:pPr>
            <w:r/>
            <w:r>
              <w:rPr>
                <w:rFonts w:ascii="微软雅黑" w:hAnsi="微软雅黑" w:eastAsia="微软雅黑"/>
                <w:b/>
                <w:color w:val="142B4A"/>
                <w:sz w:val="21"/>
              </w:rPr>
              <w:t>复旦大学</w:t>
            </w:r>
            <w:r>
              <w:rPr>
                <w:rFonts w:ascii="微软雅黑" w:hAnsi="微软雅黑" w:eastAsia="微软雅黑"/>
                <w:b w:val="0"/>
                <w:color w:val="5C6670"/>
                <w:sz w:val="19"/>
              </w:rPr>
              <w:t xml:space="preserve">  |  工商管理硕士 · 财务金融方向</w:t>
            </w:r>
          </w:p>
        </w:tc>
        <w:tc>
          <w:tcPr>
            <w:tcW w:type="dxa" w:w="2835"/>
            <w:tcBorders>
              <w:top w:val="single" w:sz="0" w:color="FFFFFF" w:space="0"/>
              <w:left w:val="single" w:sz="0" w:color="FFFFFF" w:space="0"/>
              <w:bottom w:val="single" w:sz="0" w:color="FFFFFF" w:space="0"/>
              <w:right w:val="single" w:sz="0" w:color="FFFFFF" w:space="0"/>
            </w:tcBorders>
            <w:tcMar>
              <w:top w:w="20" w:type="dxa"/>
              <w:left w:w="40" w:type="dxa"/>
              <w:bottom w:w="20" w:type="dxa"/>
              <w:right w:w="0" w:type="dxa"/>
            </w:tcMar>
          </w:tcPr>
          <w:p>
            <w:pPr>
              <w:spacing w:after="0"/>
              <w:jc w:val="right"/>
            </w:pPr>
            <w:r/>
            <w:r>
              <w:rPr>
                <w:rFonts w:ascii="微软雅黑" w:hAnsi="微软雅黑" w:eastAsia="微软雅黑"/>
                <w:b/>
                <w:color w:val="C48A2B"/>
                <w:sz w:val="19"/>
              </w:rPr>
              <w:t>2018.09 – 2021.06</w:t>
            </w:r>
          </w:p>
        </w:tc>
      </w:tr>
    </w:tbl>
    <w:p>
      <w:pPr>
        <w:spacing w:before="20" w:after="60" w:line="269" w:lineRule="auto"/>
      </w:pPr>
      <w:r>
        <w:rPr>
          <w:rFonts w:ascii="微软雅黑" w:hAnsi="微软雅黑" w:eastAsia="微软雅黑"/>
          <w:b w:val="0"/>
          <w:color w:val="5C6670"/>
          <w:sz w:val="18"/>
        </w:rPr>
        <w:t>在职攻读，与万科上海区域任职并行。</w:t>
      </w:r>
    </w:p>
    <w:tbl>
      <w:tblPr>
        <w:tblW w:type="auto" w:w="0"/>
        <w:jc w:val="center"/>
        <w:tblLayout w:type="fixed"/>
        <w:tblLook w:firstColumn="1" w:firstRow="1" w:lastColumn="0" w:lastRow="0" w:noHBand="0" w:noVBand="1" w:val="04A0"/>
      </w:tblPr>
      <w:tblGrid>
        <w:gridCol w:w="5159"/>
        <w:gridCol w:w="5159"/>
      </w:tblGrid>
      <w:tr>
        <w:tc>
          <w:tcPr>
            <w:tcW w:type="dxa" w:w="7143"/>
            <w:tcBorders>
              <w:top w:val="single" w:sz="0" w:color="FFFFFF" w:space="0"/>
              <w:left w:val="single" w:sz="0" w:color="FFFFFF" w:space="0"/>
              <w:bottom w:val="single" w:sz="0" w:color="FFFFFF" w:space="0"/>
              <w:right w:val="single" w:sz="0" w:color="FFFFFF" w:space="0"/>
            </w:tcBorders>
            <w:tcMar>
              <w:top w:w="20" w:type="dxa"/>
              <w:left w:w="0" w:type="dxa"/>
              <w:bottom w:w="20" w:type="dxa"/>
              <w:right w:w="40" w:type="dxa"/>
            </w:tcMar>
          </w:tcPr>
          <w:p>
            <w:pPr>
              <w:spacing w:after="0"/>
            </w:pPr>
            <w:r/>
            <w:r>
              <w:rPr>
                <w:rFonts w:ascii="微软雅黑" w:hAnsi="微软雅黑" w:eastAsia="微软雅黑"/>
                <w:b/>
                <w:color w:val="142B4A"/>
                <w:sz w:val="21"/>
              </w:rPr>
              <w:t>中国海洋大学</w:t>
            </w:r>
            <w:r>
              <w:rPr>
                <w:rFonts w:ascii="微软雅黑" w:hAnsi="微软雅黑" w:eastAsia="微软雅黑"/>
                <w:b w:val="0"/>
                <w:color w:val="5C6670"/>
                <w:sz w:val="19"/>
              </w:rPr>
              <w:t xml:space="preserve">  |  土木工程 · 工学学士</w:t>
            </w:r>
          </w:p>
        </w:tc>
        <w:tc>
          <w:tcPr>
            <w:tcW w:type="dxa" w:w="2835"/>
            <w:tcBorders>
              <w:top w:val="single" w:sz="0" w:color="FFFFFF" w:space="0"/>
              <w:left w:val="single" w:sz="0" w:color="FFFFFF" w:space="0"/>
              <w:bottom w:val="single" w:sz="0" w:color="FFFFFF" w:space="0"/>
              <w:right w:val="single" w:sz="0" w:color="FFFFFF" w:space="0"/>
            </w:tcBorders>
            <w:tcMar>
              <w:top w:w="20" w:type="dxa"/>
              <w:left w:w="40" w:type="dxa"/>
              <w:bottom w:w="20" w:type="dxa"/>
              <w:right w:w="0" w:type="dxa"/>
            </w:tcMar>
          </w:tcPr>
          <w:p>
            <w:pPr>
              <w:spacing w:after="0"/>
              <w:jc w:val="right"/>
            </w:pPr>
            <w:r/>
            <w:r>
              <w:rPr>
                <w:rFonts w:ascii="微软雅黑" w:hAnsi="微软雅黑" w:eastAsia="微软雅黑"/>
                <w:b/>
                <w:color w:val="C48A2B"/>
                <w:sz w:val="19"/>
              </w:rPr>
              <w:t>2007.09 – 2011.07</w:t>
            </w:r>
          </w:p>
        </w:tc>
      </w:tr>
    </w:tbl>
    <w:p>
      <w:pPr>
        <w:spacing w:before="160" w:after="20" w:line="269" w:lineRule="auto"/>
      </w:pPr>
      <w:r>
        <w:rPr>
          <w:rFonts w:ascii="微软雅黑" w:hAnsi="微软雅黑" w:eastAsia="微软雅黑"/>
          <w:b/>
          <w:color w:val="142B4A"/>
          <w:sz w:val="24"/>
        </w:rPr>
        <w:t>资质与研究</w:t>
      </w:r>
    </w:p>
    <w:p>
      <w:pPr>
        <w:spacing w:before="0" w:after="80"/>
        <w:pBdr>
          <w:bottom w:val="single" w:sz="14" w:space="1" w:color="C48A2B"/>
        </w:pBdr>
      </w:pPr>
    </w:p>
    <w:p>
      <w:pPr>
        <w:spacing w:before="0" w:after="40" w:line="269" w:lineRule="auto"/>
      </w:pPr>
      <w:r>
        <w:rPr>
          <w:rFonts w:ascii="微软雅黑" w:hAnsi="微软雅黑" w:eastAsia="微软雅黑"/>
          <w:b w:val="0"/>
          <w:color w:val="2C333A"/>
          <w:sz w:val="19"/>
        </w:rPr>
        <w:t>副教授级高级工程师；会计师中级；PMP；住建委项目管理工程师；IELTS 6.0；普通话一级甲等；BIM；上海市人才引进认证资质。</w:t>
      </w:r>
    </w:p>
    <w:p>
      <w:pPr>
        <w:spacing w:before="0" w:after="40" w:line="269" w:lineRule="auto"/>
      </w:pPr>
      <w:r>
        <w:rPr>
          <w:rFonts w:ascii="微软雅黑" w:hAnsi="微软雅黑" w:eastAsia="微软雅黑"/>
          <w:b w:val="0"/>
          <w:color w:val="2C333A"/>
          <w:sz w:val="19"/>
        </w:rPr>
        <w:t>行业核心期刊论文《万科物流地产平台业务发展战略研究》等。实用新型专利 2 项（建筑工程管理用功能脚架、防护围栏；专利号原稿脱敏，不写残号）。上海交通大学城市治理数字化转型高级研修班；复旦大学–花旗银行实践课程。</w:t>
      </w:r>
    </w:p>
    <w:p>
      <w:pPr>
        <w:spacing w:before="80" w:after="40" w:line="269" w:lineRule="auto"/>
      </w:pPr>
      <w:r>
        <w:rPr>
          <w:rFonts w:ascii="微软雅黑" w:hAnsi="微软雅黑" w:eastAsia="微软雅黑"/>
          <w:b w:val="0"/>
          <w:color w:val="5C6670"/>
          <w:sz w:val="18"/>
        </w:rPr>
        <w:t>专业方向：投资拓展、收并购、策略勾地、不良资产、物流地产、产业园区、住房保障、租赁住房、城市更新、国资合作、募投管退。标签只标已做过或研究过的方向，不把未操盘的 REITs、保租房收储写成个人业绩。</w:t>
      </w:r>
    </w:p>
    <w:p>
      <w:pPr>
        <w:spacing w:before="0" w:after="0" w:line="269" w:lineRule="auto"/>
      </w:pPr>
      <w:r>
        <w:rPr>
          <w:rFonts w:ascii="微软雅黑" w:hAnsi="微软雅黑" w:eastAsia="微软雅黑"/>
          <w:b w:val="0"/>
          <w:color w:val="5C6670"/>
          <w:sz w:val="16"/>
        </w:rPr>
        <w:t>投递方向：城市更新 / 租赁住房与存量收并购 / 产业不动产（国资平台、城投、住房与更新机构）。身份证、住址、配偶信息未写入。</w:t>
      </w:r>
    </w:p>
    <w:sectPr w:rsidR="00FC693F" w:rsidRPr="0006063C" w:rsidSect="00034616">
      <w:pgSz w:w="11906" w:h="16838"/>
      <w:pgMar w:top="652" w:right="794" w:bottom="652"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