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200" w:after="200"/>
        <w:jc w:val="center"/>
      </w:pPr>
      <w:r>
        <w:rPr>
          <w:rFonts w:ascii="黑体" w:hAnsi="黑体" w:eastAsia="黑体"/>
          <w:b/>
          <w:color w:val="1F497D"/>
          <w:sz w:val="60"/>
        </w:rPr>
        <w:t>上海商办楼宇与产业园区</w:t>
      </w:r>
    </w:p>
    <w:p>
      <w:pPr>
        <w:spacing w:before="200" w:after="200"/>
        <w:jc w:val="center"/>
      </w:pPr>
      <w:r>
        <w:rPr>
          <w:rFonts w:ascii="黑体" w:hAnsi="黑体" w:eastAsia="黑体"/>
          <w:b/>
          <w:color w:val="1F497D"/>
          <w:sz w:val="60"/>
        </w:rPr>
        <w:t>市场深度报告</w:t>
      </w:r>
    </w:p>
    <w:p/>
    <w:p>
      <w:pPr>
        <w:jc w:val="center"/>
      </w:pPr>
      <w:r>
        <w:rPr>
          <w:rFonts w:ascii="黑体" w:hAnsi="黑体" w:eastAsia="黑体"/>
          <w:b w:val="0"/>
          <w:color w:val="595959"/>
          <w:sz w:val="26"/>
        </w:rPr>
        <w:t>——全域空间供给、企业需求迁徙与产业载体运营研究——</w:t>
      </w:r>
    </w:p>
    <w:p/>
    <w:p/>
    <w:p/>
    <w:p/>
    <w:p/>
    <w:p/>
    <w:p/>
    <w:p/>
    <w:p>
      <w:pPr>
        <w:jc w:val="center"/>
      </w:pPr>
      <w:r>
        <w:rPr>
          <w:rFonts w:ascii="黑体" w:hAnsi="黑体" w:eastAsia="黑体"/>
          <w:b w:val="0"/>
          <w:color w:val="595959"/>
          <w:sz w:val="24"/>
        </w:rPr>
        <w:t>联合发布主体</w:t>
      </w:r>
    </w:p>
    <w:p>
      <w:pPr>
        <w:jc w:val="center"/>
      </w:pPr>
      <w:r>
        <w:rPr>
          <w:rFonts w:ascii="黑体" w:hAnsi="黑体" w:eastAsia="黑体"/>
          <w:b/>
          <w:color w:val="1F497D"/>
          <w:sz w:val="30"/>
        </w:rPr>
        <w:t>易居房地产研究院</w:t>
      </w:r>
    </w:p>
    <w:p>
      <w:pPr>
        <w:jc w:val="center"/>
      </w:pPr>
      <w:r>
        <w:rPr>
          <w:rFonts w:ascii="黑体" w:hAnsi="黑体" w:eastAsia="黑体"/>
          <w:b w:val="0"/>
          <w:color w:val="595959"/>
          <w:sz w:val="28"/>
        </w:rPr>
        <w:t>×</w:t>
      </w:r>
    </w:p>
    <w:p>
      <w:pPr>
        <w:jc w:val="center"/>
      </w:pPr>
      <w:r>
        <w:rPr>
          <w:rFonts w:ascii="黑体" w:hAnsi="黑体" w:eastAsia="黑体"/>
          <w:b/>
          <w:color w:val="1F497D"/>
          <w:sz w:val="30"/>
        </w:rPr>
        <w:t>复旦大学住房政策研究中心</w:t>
      </w:r>
    </w:p>
    <w:p/>
    <w:p>
      <w:pPr>
        <w:jc w:val="center"/>
      </w:pPr>
      <w:r>
        <w:rPr>
          <w:rFonts w:ascii="黑体" w:hAnsi="黑体" w:eastAsia="黑体"/>
          <w:b w:val="0"/>
          <w:color w:val="595959"/>
          <w:sz w:val="22"/>
        </w:rPr>
        <w:t>联合课题组：上海商办楼宇与产业园区市场研究课题组</w:t>
      </w:r>
    </w:p>
    <w:p/>
    <w:p/>
    <w:p/>
    <w:p/>
    <w:p>
      <w:pPr>
        <w:jc w:val="center"/>
      </w:pPr>
      <w:r>
        <w:rPr>
          <w:rFonts w:ascii="黑体" w:hAnsi="黑体" w:eastAsia="黑体"/>
          <w:b w:val="0"/>
          <w:color w:val="595959"/>
          <w:sz w:val="24"/>
        </w:rPr>
        <w:t>研发方案 · 报告大纲 · 数据调用建议 · 执行指引</w:t>
      </w:r>
    </w:p>
    <w:p>
      <w:pPr>
        <w:jc w:val="center"/>
      </w:pPr>
      <w:r>
        <w:rPr>
          <w:rFonts w:ascii="黑体" w:hAnsi="黑体" w:eastAsia="黑体"/>
          <w:b w:val="0"/>
          <w:color w:val="7F7F7F"/>
          <w:sz w:val="22"/>
        </w:rPr>
        <w:t>（讨论稿）</w:t>
      </w:r>
    </w:p>
    <w:p>
      <w:r>
        <w:br w:type="page"/>
      </w:r>
    </w:p>
    <w:p>
      <w:pPr>
        <w:spacing w:before="360" w:after="200"/>
      </w:pPr>
      <w:r>
        <w:rPr>
          <w:rFonts w:ascii="黑体" w:hAnsi="黑体" w:eastAsia="黑体"/>
          <w:b/>
          <w:color w:val="1F497D"/>
          <w:sz w:val="36"/>
        </w:rPr>
        <w:t>目录</w:t>
      </w:r>
    </w:p>
    <w:p>
      <w:pPr>
        <w:spacing w:line="384" w:lineRule="auto"/>
      </w:pPr>
      <w:r>
        <w:rPr>
          <w:rFonts w:ascii="宋体" w:hAnsi="宋体" w:eastAsia="宋体"/>
          <w:b w:val="0"/>
          <w:sz w:val="24"/>
        </w:rPr>
        <w:t>前言：联合发布与项目背景</w:t>
      </w:r>
    </w:p>
    <w:p>
      <w:pPr>
        <w:spacing w:line="384" w:lineRule="auto"/>
      </w:pPr>
      <w:r>
        <w:rPr>
          <w:rFonts w:ascii="宋体" w:hAnsi="宋体" w:eastAsia="宋体"/>
          <w:b w:val="0"/>
          <w:sz w:val="24"/>
        </w:rPr>
        <w:t>第一章  上海商办楼宇与产业园区市场发展背景</w:t>
      </w:r>
    </w:p>
    <w:p>
      <w:pPr>
        <w:spacing w:line="384" w:lineRule="auto"/>
      </w:pPr>
      <w:r>
        <w:rPr>
          <w:rFonts w:ascii="宋体" w:hAnsi="宋体" w:eastAsia="宋体"/>
          <w:b w:val="0"/>
          <w:sz w:val="24"/>
        </w:rPr>
        <w:t>第二章  上海全域商办楼宇与产业园区供给格局</w:t>
      </w:r>
    </w:p>
    <w:p>
      <w:pPr>
        <w:spacing w:line="384" w:lineRule="auto"/>
      </w:pPr>
      <w:r>
        <w:rPr>
          <w:rFonts w:ascii="宋体" w:hAnsi="宋体" w:eastAsia="宋体"/>
          <w:b w:val="0"/>
          <w:sz w:val="24"/>
        </w:rPr>
        <w:t>第三章  上海商办与产业园区租金、空置和价格体系</w:t>
      </w:r>
    </w:p>
    <w:p>
      <w:pPr>
        <w:spacing w:line="384" w:lineRule="auto"/>
      </w:pPr>
      <w:r>
        <w:rPr>
          <w:rFonts w:ascii="宋体" w:hAnsi="宋体" w:eastAsia="宋体"/>
          <w:b w:val="0"/>
          <w:sz w:val="24"/>
        </w:rPr>
        <w:t>第四章  入驻企业画像与产业需求结构</w:t>
      </w:r>
    </w:p>
    <w:p>
      <w:pPr>
        <w:spacing w:line="384" w:lineRule="auto"/>
      </w:pPr>
      <w:r>
        <w:rPr>
          <w:rFonts w:ascii="宋体" w:hAnsi="宋体" w:eastAsia="宋体"/>
          <w:b w:val="0"/>
          <w:sz w:val="24"/>
        </w:rPr>
        <w:t>第五章  企业迁徙与产业流动趋势</w:t>
      </w:r>
    </w:p>
    <w:p>
      <w:pPr>
        <w:spacing w:line="384" w:lineRule="auto"/>
      </w:pPr>
      <w:r>
        <w:rPr>
          <w:rFonts w:ascii="宋体" w:hAnsi="宋体" w:eastAsia="宋体"/>
          <w:b w:val="0"/>
          <w:sz w:val="24"/>
        </w:rPr>
        <w:t>第六章  供需匹配与招商机会分析</w:t>
      </w:r>
    </w:p>
    <w:p>
      <w:pPr>
        <w:spacing w:line="384" w:lineRule="auto"/>
      </w:pPr>
      <w:r>
        <w:rPr>
          <w:rFonts w:ascii="宋体" w:hAnsi="宋体" w:eastAsia="宋体"/>
          <w:b w:val="0"/>
          <w:sz w:val="24"/>
        </w:rPr>
        <w:t>第七章  市场趋势预测</w:t>
      </w:r>
    </w:p>
    <w:p>
      <w:pPr>
        <w:spacing w:line="384" w:lineRule="auto"/>
      </w:pPr>
      <w:r>
        <w:rPr>
          <w:rFonts w:ascii="宋体" w:hAnsi="宋体" w:eastAsia="宋体"/>
          <w:b w:val="0"/>
          <w:sz w:val="24"/>
        </w:rPr>
        <w:t>第八章  政策建议与市场应用</w:t>
      </w:r>
    </w:p>
    <w:p>
      <w:pPr>
        <w:spacing w:line="384" w:lineRule="auto"/>
      </w:pPr>
      <w:r>
        <w:rPr>
          <w:rFonts w:ascii="宋体" w:hAnsi="宋体" w:eastAsia="宋体"/>
          <w:b w:val="0"/>
          <w:sz w:val="24"/>
        </w:rPr>
        <w:t>第九章  成果体系与商业化延展</w:t>
      </w:r>
    </w:p>
    <w:p>
      <w:pPr>
        <w:spacing w:line="384" w:lineRule="auto"/>
      </w:pPr>
      <w:r>
        <w:rPr>
          <w:rFonts w:ascii="宋体" w:hAnsi="宋体" w:eastAsia="宋体"/>
          <w:b w:val="0"/>
          <w:sz w:val="24"/>
        </w:rPr>
        <w:t>附篇一  数据体系与字段设计</w:t>
      </w:r>
    </w:p>
    <w:p>
      <w:pPr>
        <w:spacing w:line="384" w:lineRule="auto"/>
      </w:pPr>
      <w:r>
        <w:rPr>
          <w:rFonts w:ascii="宋体" w:hAnsi="宋体" w:eastAsia="宋体"/>
          <w:b w:val="0"/>
          <w:sz w:val="24"/>
        </w:rPr>
        <w:t>附篇二  核心指标体系（五大指数）</w:t>
      </w:r>
    </w:p>
    <w:p>
      <w:pPr>
        <w:spacing w:line="384" w:lineRule="auto"/>
      </w:pPr>
      <w:r>
        <w:rPr>
          <w:rFonts w:ascii="宋体" w:hAnsi="宋体" w:eastAsia="宋体"/>
          <w:b w:val="0"/>
          <w:sz w:val="24"/>
        </w:rPr>
        <w:t>附篇三  数据调用、采集与合规建议</w:t>
      </w:r>
    </w:p>
    <w:p>
      <w:pPr>
        <w:spacing w:line="384" w:lineRule="auto"/>
      </w:pPr>
      <w:r>
        <w:rPr>
          <w:rFonts w:ascii="宋体" w:hAnsi="宋体" w:eastAsia="宋体"/>
          <w:b w:val="0"/>
          <w:sz w:val="24"/>
        </w:rPr>
        <w:t>附篇四  分工协同机制与工作流程</w:t>
      </w:r>
    </w:p>
    <w:p>
      <w:pPr>
        <w:spacing w:line="384" w:lineRule="auto"/>
      </w:pPr>
      <w:r>
        <w:rPr>
          <w:rFonts w:ascii="宋体" w:hAnsi="宋体" w:eastAsia="宋体"/>
          <w:b w:val="0"/>
          <w:sz w:val="24"/>
        </w:rPr>
        <w:t>附篇五  首期试点报告落地建议</w:t>
      </w:r>
    </w:p>
    <w:p>
      <w:pPr>
        <w:spacing w:line="384" w:lineRule="auto"/>
      </w:pPr>
      <w:r>
        <w:rPr>
          <w:rFonts w:ascii="宋体" w:hAnsi="宋体" w:eastAsia="宋体"/>
          <w:b w:val="0"/>
          <w:sz w:val="24"/>
        </w:rPr>
        <w:t>附篇六  关键难点与解决方案</w:t>
      </w:r>
    </w:p>
    <w:p>
      <w:pPr>
        <w:spacing w:line="384" w:lineRule="auto"/>
      </w:pPr>
      <w:r>
        <w:rPr>
          <w:rFonts w:ascii="宋体" w:hAnsi="宋体" w:eastAsia="宋体"/>
          <w:b w:val="0"/>
          <w:sz w:val="24"/>
        </w:rPr>
        <w:t>附篇七  最终成果包与商业化产品矩阵</w:t>
      </w:r>
    </w:p>
    <w:p>
      <w:pPr>
        <w:spacing w:line="384" w:lineRule="auto"/>
      </w:pPr>
      <w:r>
        <w:rPr>
          <w:rFonts w:ascii="宋体" w:hAnsi="宋体" w:eastAsia="宋体"/>
          <w:b w:val="0"/>
          <w:sz w:val="24"/>
        </w:rPr>
        <w:t>结语   研究价值与长期愿景</w:t>
      </w:r>
    </w:p>
    <w:p>
      <w:r>
        <w:br w:type="page"/>
      </w:r>
    </w:p>
    <w:p>
      <w:pPr>
        <w:spacing w:before="360" w:after="200"/>
      </w:pPr>
      <w:r>
        <w:rPr>
          <w:rFonts w:ascii="黑体" w:hAnsi="黑体" w:eastAsia="黑体"/>
          <w:b/>
          <w:color w:val="1F497D"/>
          <w:sz w:val="36"/>
        </w:rPr>
        <w:t>前言：联合发布与项目背景</w:t>
      </w:r>
    </w:p>
    <w:p>
      <w:pPr>
        <w:spacing w:before="240" w:after="120"/>
      </w:pPr>
      <w:r>
        <w:rPr>
          <w:rFonts w:ascii="黑体" w:hAnsi="黑体" w:eastAsia="黑体"/>
          <w:b/>
          <w:color w:val="2F5597"/>
          <w:sz w:val="28"/>
        </w:rPr>
        <w:t>一、项目定位</w:t>
      </w:r>
    </w:p>
    <w:p>
      <w:pPr>
        <w:spacing w:before="160" w:after="80"/>
      </w:pPr>
      <w:r>
        <w:rPr>
          <w:rFonts w:ascii="黑体" w:hAnsi="黑体" w:eastAsia="黑体"/>
          <w:b/>
          <w:color w:val="4472C4"/>
          <w:sz w:val="24"/>
        </w:rPr>
        <w:t>1. 报告名称</w:t>
      </w:r>
    </w:p>
    <w:p>
      <w:pPr>
        <w:spacing w:after="80" w:line="360" w:lineRule="auto"/>
        <w:ind w:firstLine="440"/>
      </w:pPr>
      <w:r>
        <w:rPr>
          <w:rFonts w:ascii="宋体" w:hAnsi="宋体" w:eastAsia="宋体"/>
          <w:b w:val="0"/>
          <w:sz w:val="22"/>
        </w:rPr>
        <w:t>正式名称：《上海商办楼宇与产业园区市场深度报告》。</w:t>
      </w:r>
    </w:p>
    <w:p>
      <w:pPr>
        <w:spacing w:after="80" w:line="360" w:lineRule="auto"/>
        <w:ind w:firstLine="440"/>
      </w:pPr>
      <w:r>
        <w:rPr>
          <w:rFonts w:ascii="宋体" w:hAnsi="宋体" w:eastAsia="宋体"/>
          <w:b w:val="0"/>
          <w:sz w:val="22"/>
        </w:rPr>
        <w:t>副标题（可根据发布场景选择）：</w:t>
      </w:r>
    </w:p>
    <w:p>
      <w:pPr>
        <w:pStyle w:val="ListBullet"/>
        <w:spacing w:line="324" w:lineRule="auto"/>
        <w:ind w:left="454"/>
      </w:pPr>
      <w:r/>
      <w:r>
        <w:rPr>
          <w:rFonts w:ascii="宋体" w:hAnsi="宋体" w:eastAsia="宋体"/>
          <w:b w:val="0"/>
          <w:sz w:val="22"/>
        </w:rPr>
        <w:t>全域空间供给、企业需求迁徙与产业载体运营研究；</w:t>
      </w:r>
    </w:p>
    <w:p>
      <w:pPr>
        <w:pStyle w:val="ListBullet"/>
        <w:spacing w:line="324" w:lineRule="auto"/>
        <w:ind w:left="454"/>
      </w:pPr>
      <w:r/>
      <w:r>
        <w:rPr>
          <w:rFonts w:ascii="宋体" w:hAnsi="宋体" w:eastAsia="宋体"/>
          <w:b w:val="0"/>
          <w:sz w:val="22"/>
        </w:rPr>
        <w:t>上海商办与产业空间供需格局、企业流动及资产运营决策报告。</w:t>
      </w:r>
    </w:p>
    <w:p>
      <w:pPr>
        <w:spacing w:after="80" w:line="360" w:lineRule="auto"/>
        <w:ind w:firstLine="440"/>
      </w:pPr>
      <w:r>
        <w:rPr>
          <w:rFonts w:ascii="宋体" w:hAnsi="宋体" w:eastAsia="宋体"/>
          <w:b w:val="0"/>
          <w:sz w:val="22"/>
        </w:rPr>
        <w:t>联合发布主体：易居房地产研究院 × 复旦大学住房政策研究中心。可根据合作结构挂“联合课题组：上海商办楼宇与产业园区市场研究课题组”。</w:t>
      </w:r>
    </w:p>
    <w:p>
      <w:pPr>
        <w:spacing w:before="160" w:after="80"/>
      </w:pPr>
      <w:r>
        <w:rPr>
          <w:rFonts w:ascii="黑体" w:hAnsi="黑体" w:eastAsia="黑体"/>
          <w:b/>
          <w:color w:val="4472C4"/>
          <w:sz w:val="24"/>
        </w:rPr>
        <w:t>2. 报告核心定位</w:t>
      </w:r>
    </w:p>
    <w:p>
      <w:pPr>
        <w:spacing w:after="80" w:line="360" w:lineRule="auto"/>
        <w:ind w:firstLine="440"/>
      </w:pPr>
      <w:r>
        <w:rPr>
          <w:rFonts w:ascii="宋体" w:hAnsi="宋体" w:eastAsia="宋体"/>
          <w:b w:val="0"/>
          <w:sz w:val="22"/>
        </w:rPr>
        <w:t>本报告拟打造成为一份面向上海全域商办楼宇与产业园区市场的系统性研究成果，重点突破传统市场报告只关注核心商务区甲级写字楼、只分析租金和空置率的局限，转向：</w:t>
      </w:r>
    </w:p>
    <w:p>
      <w:pPr>
        <w:pStyle w:val="ListBullet"/>
        <w:spacing w:line="324" w:lineRule="auto"/>
        <w:ind w:left="454"/>
      </w:pPr>
      <w:r/>
      <w:r>
        <w:rPr>
          <w:rFonts w:ascii="宋体" w:hAnsi="宋体" w:eastAsia="宋体"/>
          <w:b w:val="0"/>
          <w:sz w:val="22"/>
        </w:rPr>
        <w:t>全域覆盖：覆盖上海16区，逐步细化至街道、镇级颗粒度；</w:t>
      </w:r>
    </w:p>
    <w:p>
      <w:pPr>
        <w:pStyle w:val="ListBullet"/>
        <w:spacing w:line="324" w:lineRule="auto"/>
        <w:ind w:left="454"/>
      </w:pPr>
      <w:r/>
      <w:r>
        <w:rPr>
          <w:rFonts w:ascii="宋体" w:hAnsi="宋体" w:eastAsia="宋体"/>
          <w:b w:val="0"/>
          <w:sz w:val="22"/>
        </w:rPr>
        <w:t>全类型载体覆盖：写字楼、产业园区、科创园区、孵化器、商务园区等；</w:t>
      </w:r>
    </w:p>
    <w:p>
      <w:pPr>
        <w:pStyle w:val="ListBullet"/>
        <w:spacing w:line="324" w:lineRule="auto"/>
        <w:ind w:left="454"/>
      </w:pPr>
      <w:r/>
      <w:r>
        <w:rPr>
          <w:rFonts w:ascii="宋体" w:hAnsi="宋体" w:eastAsia="宋体"/>
          <w:b w:val="0"/>
          <w:sz w:val="22"/>
        </w:rPr>
        <w:t>供需双侧研究：既研究楼宇园区供给，也研究企业入驻、搬迁、扩租、缩租需求；</w:t>
      </w:r>
    </w:p>
    <w:p>
      <w:pPr>
        <w:pStyle w:val="ListBullet"/>
        <w:spacing w:line="324" w:lineRule="auto"/>
        <w:ind w:left="454"/>
      </w:pPr>
      <w:r/>
      <w:r>
        <w:rPr>
          <w:rFonts w:ascii="宋体" w:hAnsi="宋体" w:eastAsia="宋体"/>
          <w:b w:val="0"/>
          <w:sz w:val="22"/>
        </w:rPr>
        <w:t>产业视角嵌入：分析产业集聚、产业迁徙、产业补链机会；</w:t>
      </w:r>
    </w:p>
    <w:p>
      <w:pPr>
        <w:pStyle w:val="ListBullet"/>
        <w:spacing w:line="324" w:lineRule="auto"/>
        <w:ind w:left="454"/>
      </w:pPr>
      <w:r/>
      <w:r>
        <w:rPr>
          <w:rFonts w:ascii="宋体" w:hAnsi="宋体" w:eastAsia="宋体"/>
          <w:b w:val="0"/>
          <w:sz w:val="22"/>
        </w:rPr>
        <w:t>招商和资管导向：最终服务政府招商、园区运营、资产盘活、企业选址和投资决策。</w:t>
      </w:r>
    </w:p>
    <w:p>
      <w:pPr>
        <w:spacing w:before="160" w:after="80"/>
      </w:pPr>
      <w:r>
        <w:rPr>
          <w:rFonts w:ascii="黑体" w:hAnsi="黑体" w:eastAsia="黑体"/>
          <w:b/>
          <w:color w:val="4472C4"/>
          <w:sz w:val="24"/>
        </w:rPr>
        <w:t>3. 报告目标读者</w:t>
      </w:r>
    </w:p>
    <w:tbl>
      <w:tblPr>
        <w:tblStyle w:val="LightGrid-Accent1"/>
        <w:tblW w:type="auto" w:w="0"/>
        <w:jc w:val="center"/>
        <w:tblLook w:firstColumn="1" w:firstRow="1" w:lastColumn="0" w:lastRow="0" w:noHBand="0" w:noVBand="1" w:val="04A0"/>
      </w:tblPr>
      <w:tblGrid>
        <w:gridCol w:w="3097"/>
        <w:gridCol w:w="3097"/>
        <w:gridCol w:w="3097"/>
      </w:tblGrid>
      <w:tr>
        <w:tc>
          <w:tcPr>
            <w:tcW w:type="dxa" w:w="1984"/>
            <w:shd w:fill="1F4E79"/>
          </w:tcPr>
          <w:p>
            <w:pPr>
              <w:jc w:val="center"/>
            </w:pPr>
            <w:r/>
            <w:r>
              <w:rPr>
                <w:rFonts w:ascii="黑体" w:hAnsi="黑体" w:eastAsia="黑体"/>
                <w:b/>
                <w:color w:val="FFFFFF"/>
                <w:sz w:val="20"/>
              </w:rPr>
              <w:t>读者类别</w:t>
            </w:r>
          </w:p>
        </w:tc>
        <w:tc>
          <w:tcPr>
            <w:tcW w:type="dxa" w:w="3402"/>
            <w:shd w:fill="1F4E79"/>
          </w:tcPr>
          <w:p>
            <w:pPr>
              <w:jc w:val="center"/>
            </w:pPr>
            <w:r/>
            <w:r>
              <w:rPr>
                <w:rFonts w:ascii="黑体" w:hAnsi="黑体" w:eastAsia="黑体"/>
                <w:b/>
                <w:color w:val="FFFFFF"/>
                <w:sz w:val="20"/>
              </w:rPr>
              <w:t>典型角色</w:t>
            </w:r>
          </w:p>
        </w:tc>
        <w:tc>
          <w:tcPr>
            <w:tcW w:type="dxa" w:w="3685"/>
            <w:shd w:fill="1F4E79"/>
          </w:tcPr>
          <w:p>
            <w:pPr>
              <w:jc w:val="center"/>
            </w:pPr>
            <w:r/>
            <w:r>
              <w:rPr>
                <w:rFonts w:ascii="黑体" w:hAnsi="黑体" w:eastAsia="黑体"/>
                <w:b/>
                <w:color w:val="FFFFFF"/>
                <w:sz w:val="20"/>
              </w:rPr>
              <w:t>核心使用场景</w:t>
            </w:r>
          </w:p>
        </w:tc>
      </w:tr>
      <w:tr>
        <w:tc>
          <w:tcPr>
            <w:tcW w:type="dxa" w:w="1984"/>
          </w:tcPr>
          <w:p>
            <w:r/>
            <w:r>
              <w:rPr>
                <w:rFonts w:ascii="宋体" w:hAnsi="宋体" w:eastAsia="宋体"/>
                <w:b w:val="0"/>
                <w:sz w:val="20"/>
              </w:rPr>
              <w:t>政府与产业招商部门</w:t>
            </w:r>
          </w:p>
        </w:tc>
        <w:tc>
          <w:tcPr>
            <w:tcW w:type="dxa" w:w="3402"/>
          </w:tcPr>
          <w:p>
            <w:r/>
            <w:r>
              <w:rPr>
                <w:rFonts w:ascii="宋体" w:hAnsi="宋体" w:eastAsia="宋体"/>
                <w:b w:val="0"/>
                <w:sz w:val="20"/>
              </w:rPr>
              <w:t>市/区两级招商主管、街镇招商中心、开发区/功能区/产业园管理机构</w:t>
            </w:r>
          </w:p>
        </w:tc>
        <w:tc>
          <w:tcPr>
            <w:tcW w:type="dxa" w:w="3685"/>
          </w:tcPr>
          <w:p>
            <w:r/>
            <w:r>
              <w:rPr>
                <w:rFonts w:ascii="宋体" w:hAnsi="宋体" w:eastAsia="宋体"/>
                <w:b w:val="0"/>
                <w:sz w:val="20"/>
              </w:rPr>
              <w:t>产业空间治理、精准招商、楼宇经济和园区经济政策制定</w:t>
            </w:r>
          </w:p>
        </w:tc>
      </w:tr>
      <w:tr>
        <w:tc>
          <w:tcPr>
            <w:tcW w:type="dxa" w:w="1984"/>
          </w:tcPr>
          <w:p>
            <w:r/>
            <w:r>
              <w:rPr>
                <w:rFonts w:ascii="宋体" w:hAnsi="宋体" w:eastAsia="宋体"/>
                <w:b w:val="0"/>
                <w:sz w:val="20"/>
              </w:rPr>
              <w:t>楼宇和园区运营方</w:t>
            </w:r>
          </w:p>
        </w:tc>
        <w:tc>
          <w:tcPr>
            <w:tcW w:type="dxa" w:w="3402"/>
          </w:tcPr>
          <w:p>
            <w:r/>
            <w:r>
              <w:rPr>
                <w:rFonts w:ascii="宋体" w:hAnsi="宋体" w:eastAsia="宋体"/>
                <w:b w:val="0"/>
                <w:sz w:val="20"/>
              </w:rPr>
              <w:t>商办业主、园区运营商、城市更新操盘方、国企平台公司</w:t>
            </w:r>
          </w:p>
        </w:tc>
        <w:tc>
          <w:tcPr>
            <w:tcW w:type="dxa" w:w="3685"/>
          </w:tcPr>
          <w:p>
            <w:r/>
            <w:r>
              <w:rPr>
                <w:rFonts w:ascii="宋体" w:hAnsi="宋体" w:eastAsia="宋体"/>
                <w:b w:val="0"/>
                <w:sz w:val="20"/>
              </w:rPr>
              <w:t>资产定位、租金策略、招商策略、运营服务设计</w:t>
            </w:r>
          </w:p>
        </w:tc>
      </w:tr>
      <w:tr>
        <w:tc>
          <w:tcPr>
            <w:tcW w:type="dxa" w:w="1984"/>
          </w:tcPr>
          <w:p>
            <w:r/>
            <w:r>
              <w:rPr>
                <w:rFonts w:ascii="宋体" w:hAnsi="宋体" w:eastAsia="宋体"/>
                <w:b w:val="0"/>
                <w:sz w:val="20"/>
              </w:rPr>
              <w:t>资产持有方与投资机构</w:t>
            </w:r>
          </w:p>
        </w:tc>
        <w:tc>
          <w:tcPr>
            <w:tcW w:type="dxa" w:w="3402"/>
          </w:tcPr>
          <w:p>
            <w:r/>
            <w:r>
              <w:rPr>
                <w:rFonts w:ascii="宋体" w:hAnsi="宋体" w:eastAsia="宋体"/>
                <w:b w:val="0"/>
                <w:sz w:val="20"/>
              </w:rPr>
              <w:t>REITs/类REITs资产方、商办投资人、资管公司、地产基金</w:t>
            </w:r>
          </w:p>
        </w:tc>
        <w:tc>
          <w:tcPr>
            <w:tcW w:type="dxa" w:w="3685"/>
          </w:tcPr>
          <w:p>
            <w:r/>
            <w:r>
              <w:rPr>
                <w:rFonts w:ascii="宋体" w:hAnsi="宋体" w:eastAsia="宋体"/>
                <w:b w:val="0"/>
                <w:sz w:val="20"/>
              </w:rPr>
              <w:t>竞品对标、估值、改造、资本化路径</w:t>
            </w:r>
          </w:p>
        </w:tc>
      </w:tr>
      <w:tr>
        <w:tc>
          <w:tcPr>
            <w:tcW w:type="dxa" w:w="1984"/>
          </w:tcPr>
          <w:p>
            <w:r/>
            <w:r>
              <w:rPr>
                <w:rFonts w:ascii="宋体" w:hAnsi="宋体" w:eastAsia="宋体"/>
                <w:b w:val="0"/>
                <w:sz w:val="20"/>
              </w:rPr>
              <w:t>企业选址与扩张决策方</w:t>
            </w:r>
          </w:p>
        </w:tc>
        <w:tc>
          <w:tcPr>
            <w:tcW w:type="dxa" w:w="3402"/>
          </w:tcPr>
          <w:p>
            <w:r/>
            <w:r>
              <w:rPr>
                <w:rFonts w:ascii="宋体" w:hAnsi="宋体" w:eastAsia="宋体"/>
                <w:b w:val="0"/>
                <w:sz w:val="20"/>
              </w:rPr>
              <w:t>科创/专精特新/总部/生产性服务业企业</w:t>
            </w:r>
          </w:p>
        </w:tc>
        <w:tc>
          <w:tcPr>
            <w:tcW w:type="dxa" w:w="3685"/>
          </w:tcPr>
          <w:p>
            <w:r/>
            <w:r>
              <w:rPr>
                <w:rFonts w:ascii="宋体" w:hAnsi="宋体" w:eastAsia="宋体"/>
                <w:b w:val="0"/>
                <w:sz w:val="20"/>
              </w:rPr>
              <w:t>选址、扩租、缩租、迁址决策</w:t>
            </w:r>
          </w:p>
        </w:tc>
      </w:tr>
      <w:tr>
        <w:tc>
          <w:tcPr>
            <w:tcW w:type="dxa" w:w="1984"/>
          </w:tcPr>
          <w:p>
            <w:r/>
            <w:r>
              <w:rPr>
                <w:rFonts w:ascii="宋体" w:hAnsi="宋体" w:eastAsia="宋体"/>
                <w:b w:val="0"/>
                <w:sz w:val="20"/>
              </w:rPr>
              <w:t>行业研究与咨询机构</w:t>
            </w:r>
          </w:p>
        </w:tc>
        <w:tc>
          <w:tcPr>
            <w:tcW w:type="dxa" w:w="3402"/>
          </w:tcPr>
          <w:p>
            <w:r/>
            <w:r>
              <w:rPr>
                <w:rFonts w:ascii="宋体" w:hAnsi="宋体" w:eastAsia="宋体"/>
                <w:b w:val="0"/>
                <w:sz w:val="20"/>
              </w:rPr>
              <w:t>房地产研究机构、产业咨询、金融机构研究部门、城市更新服务商</w:t>
            </w:r>
          </w:p>
        </w:tc>
        <w:tc>
          <w:tcPr>
            <w:tcW w:type="dxa" w:w="3685"/>
          </w:tcPr>
          <w:p>
            <w:r/>
            <w:r>
              <w:rPr>
                <w:rFonts w:ascii="宋体" w:hAnsi="宋体" w:eastAsia="宋体"/>
                <w:b w:val="0"/>
                <w:sz w:val="20"/>
              </w:rPr>
              <w:t>市场对标、行业研究、政策咨询</w:t>
            </w:r>
          </w:p>
        </w:tc>
      </w:tr>
    </w:tbl>
    <w:p>
      <w:pPr>
        <w:spacing w:after="120"/>
      </w:pPr>
    </w:p>
    <w:p>
      <w:pPr>
        <w:spacing w:before="240" w:after="120"/>
      </w:pPr>
      <w:r>
        <w:rPr>
          <w:rFonts w:ascii="黑体" w:hAnsi="黑体" w:eastAsia="黑体"/>
          <w:b/>
          <w:color w:val="2F5597"/>
          <w:sz w:val="28"/>
        </w:rPr>
        <w:t>二、项目背景与时代意义</w:t>
      </w:r>
    </w:p>
    <w:p>
      <w:pPr>
        <w:spacing w:after="80" w:line="360" w:lineRule="auto"/>
        <w:ind w:firstLine="440"/>
      </w:pPr>
      <w:r>
        <w:rPr>
          <w:rFonts w:ascii="宋体" w:hAnsi="宋体" w:eastAsia="宋体"/>
          <w:b w:val="0"/>
          <w:sz w:val="22"/>
        </w:rPr>
        <w:t>当前上海正处于城市更新向纵深推进、新质生产力加快培育、“五个中心”建设能级持续提升的重要阶段。商办楼宇与产业园区作为承载产业经济、集聚创新要素、支撑城市功能的重要空间载体，其市场运行逻辑已发生深刻变化。</w:t>
      </w:r>
    </w:p>
    <w:p>
      <w:pPr>
        <w:spacing w:after="80" w:line="360" w:lineRule="auto"/>
        <w:ind w:firstLine="440"/>
      </w:pPr>
      <w:r>
        <w:rPr>
          <w:rFonts w:ascii="宋体" w:hAnsi="宋体" w:eastAsia="宋体"/>
          <w:b w:val="0"/>
          <w:sz w:val="22"/>
        </w:rPr>
        <w:t>过去研究多集中于核心商务区甲级写字楼，关注租金、空置率、新增供应等传统资产指标。随着城市发展进入存量时代，市场关注点正从“增量开发”转向“存量盘活”，从“资产租赁”转向“产业运营”，从“楼宇价值”转向“企业需求、产业集聚和空间效率”。</w:t>
      </w:r>
    </w:p>
    <w:p>
      <w:pPr>
        <w:spacing w:after="80" w:line="360" w:lineRule="auto"/>
        <w:ind w:firstLine="440"/>
      </w:pPr>
      <w:r>
        <w:rPr>
          <w:rFonts w:ascii="宋体" w:hAnsi="宋体" w:eastAsia="宋体"/>
          <w:b w:val="0"/>
          <w:sz w:val="22"/>
        </w:rPr>
        <w:t>企业需求端正在系统性重构。办公选址不再单纯追求地段、形象和总部标签，而是更加关注综合成本、产业协同、政策赋能、空间灵活性、人才可达性和运营服务能力。科创、专精特新、生产性服务业、人工智能、智能驾驶、生物医药等不同主体，对办公和产业空间提出了更复杂、更动态、更精细化的需求。</w:t>
      </w:r>
    </w:p>
    <w:p>
      <w:pPr>
        <w:spacing w:after="80" w:line="360" w:lineRule="auto"/>
        <w:ind w:firstLine="440"/>
      </w:pPr>
      <w:r>
        <w:rPr>
          <w:rFonts w:ascii="宋体" w:hAnsi="宋体" w:eastAsia="宋体"/>
          <w:b w:val="0"/>
          <w:sz w:val="22"/>
        </w:rPr>
        <w:t>在此背景下，研发一份覆盖上海全域、兼顾供需两侧、嵌入产业视角、面向招商与资管决策的深度报告，具有明显的战略意义与现实价值。</w:t>
      </w:r>
    </w:p>
    <w:p>
      <w:pPr>
        <w:spacing w:before="240" w:after="120"/>
      </w:pPr>
      <w:r>
        <w:rPr>
          <w:rFonts w:ascii="黑体" w:hAnsi="黑体" w:eastAsia="黑体"/>
          <w:b/>
          <w:color w:val="2F5597"/>
          <w:sz w:val="28"/>
        </w:rPr>
        <w:t>三、报告核心价值</w:t>
      </w:r>
    </w:p>
    <w:tbl>
      <w:tblPr>
        <w:tblStyle w:val="LightGrid-Accent1"/>
        <w:tblW w:type="auto" w:w="0"/>
        <w:jc w:val="center"/>
        <w:tblLook w:firstColumn="1" w:firstRow="1" w:lastColumn="0" w:lastRow="0" w:noHBand="0" w:noVBand="1" w:val="04A0"/>
      </w:tblPr>
      <w:tblGrid>
        <w:gridCol w:w="4646"/>
        <w:gridCol w:w="4646"/>
      </w:tblGrid>
      <w:tr>
        <w:tc>
          <w:tcPr>
            <w:tcW w:type="dxa" w:w="1984"/>
            <w:shd w:fill="1F4E79"/>
          </w:tcPr>
          <w:p>
            <w:pPr>
              <w:jc w:val="center"/>
            </w:pPr>
            <w:r/>
            <w:r>
              <w:rPr>
                <w:rFonts w:ascii="黑体" w:hAnsi="黑体" w:eastAsia="黑体"/>
                <w:b/>
                <w:color w:val="FFFFFF"/>
                <w:sz w:val="20"/>
              </w:rPr>
              <w:t>维度</w:t>
            </w:r>
          </w:p>
        </w:tc>
        <w:tc>
          <w:tcPr>
            <w:tcW w:type="dxa" w:w="7087"/>
            <w:shd w:fill="1F4E79"/>
          </w:tcPr>
          <w:p>
            <w:pPr>
              <w:jc w:val="center"/>
            </w:pPr>
            <w:r/>
            <w:r>
              <w:rPr>
                <w:rFonts w:ascii="黑体" w:hAnsi="黑体" w:eastAsia="黑体"/>
                <w:b/>
                <w:color w:val="FFFFFF"/>
                <w:sz w:val="20"/>
              </w:rPr>
              <w:t>核心价值</w:t>
            </w:r>
          </w:p>
        </w:tc>
      </w:tr>
      <w:tr>
        <w:tc>
          <w:tcPr>
            <w:tcW w:type="dxa" w:w="1984"/>
          </w:tcPr>
          <w:p>
            <w:r/>
            <w:r>
              <w:rPr>
                <w:rFonts w:ascii="宋体" w:hAnsi="宋体" w:eastAsia="宋体"/>
                <w:b w:val="0"/>
                <w:sz w:val="20"/>
              </w:rPr>
              <w:t>政府端</w:t>
            </w:r>
          </w:p>
        </w:tc>
        <w:tc>
          <w:tcPr>
            <w:tcW w:type="dxa" w:w="7087"/>
          </w:tcPr>
          <w:p>
            <w:r/>
            <w:r>
              <w:rPr>
                <w:rFonts w:ascii="宋体" w:hAnsi="宋体" w:eastAsia="宋体"/>
                <w:b w:val="0"/>
                <w:sz w:val="20"/>
              </w:rPr>
              <w:t>摸清存量底数；识别空置/招商压力与供需错配；追踪企业迁徙、产业集聚和外溢；支撑城市更新、楼宇经济政策制定与精准招商</w:t>
            </w:r>
          </w:p>
        </w:tc>
      </w:tr>
      <w:tr>
        <w:tc>
          <w:tcPr>
            <w:tcW w:type="dxa" w:w="1984"/>
          </w:tcPr>
          <w:p>
            <w:r/>
            <w:r>
              <w:rPr>
                <w:rFonts w:ascii="宋体" w:hAnsi="宋体" w:eastAsia="宋体"/>
                <w:b w:val="0"/>
                <w:sz w:val="20"/>
              </w:rPr>
              <w:t>行业端</w:t>
            </w:r>
          </w:p>
        </w:tc>
        <w:tc>
          <w:tcPr>
            <w:tcW w:type="dxa" w:w="7087"/>
          </w:tcPr>
          <w:p>
            <w:r/>
            <w:r>
              <w:rPr>
                <w:rFonts w:ascii="宋体" w:hAnsi="宋体" w:eastAsia="宋体"/>
                <w:b w:val="0"/>
                <w:sz w:val="20"/>
              </w:rPr>
              <w:t>打破“重核心区、轻全域；重供给、轻需求；重静态、轻动态”的局限，建立上海商办与产业园区市场的标准化研究框架</w:t>
            </w:r>
          </w:p>
        </w:tc>
      </w:tr>
      <w:tr>
        <w:tc>
          <w:tcPr>
            <w:tcW w:type="dxa" w:w="1984"/>
          </w:tcPr>
          <w:p>
            <w:r/>
            <w:r>
              <w:rPr>
                <w:rFonts w:ascii="宋体" w:hAnsi="宋体" w:eastAsia="宋体"/>
                <w:b w:val="0"/>
                <w:sz w:val="20"/>
              </w:rPr>
              <w:t>资产端</w:t>
            </w:r>
          </w:p>
        </w:tc>
        <w:tc>
          <w:tcPr>
            <w:tcW w:type="dxa" w:w="7087"/>
          </w:tcPr>
          <w:p>
            <w:r/>
            <w:r>
              <w:rPr>
                <w:rFonts w:ascii="宋体" w:hAnsi="宋体" w:eastAsia="宋体"/>
                <w:b w:val="0"/>
                <w:sz w:val="20"/>
              </w:rPr>
              <w:t>判断区域竞争格局；对标竞品；明确目标产业与企业画像；优化租金、招商、运营、改造与资本化策略</w:t>
            </w:r>
          </w:p>
        </w:tc>
      </w:tr>
      <w:tr>
        <w:tc>
          <w:tcPr>
            <w:tcW w:type="dxa" w:w="1984"/>
          </w:tcPr>
          <w:p>
            <w:r/>
            <w:r>
              <w:rPr>
                <w:rFonts w:ascii="宋体" w:hAnsi="宋体" w:eastAsia="宋体"/>
                <w:b w:val="0"/>
                <w:sz w:val="20"/>
              </w:rPr>
              <w:t>企业端</w:t>
            </w:r>
          </w:p>
        </w:tc>
        <w:tc>
          <w:tcPr>
            <w:tcW w:type="dxa" w:w="7087"/>
          </w:tcPr>
          <w:p>
            <w:r/>
            <w:r>
              <w:rPr>
                <w:rFonts w:ascii="宋体" w:hAnsi="宋体" w:eastAsia="宋体"/>
                <w:b w:val="0"/>
                <w:sz w:val="20"/>
              </w:rPr>
              <w:t>比较综合承租成本；判断产业生态与政策环境；识别适配空间；降低选址风险，提升空间配置效率</w:t>
            </w:r>
          </w:p>
        </w:tc>
      </w:tr>
      <w:tr>
        <w:tc>
          <w:tcPr>
            <w:tcW w:type="dxa" w:w="1984"/>
          </w:tcPr>
          <w:p>
            <w:r/>
            <w:r>
              <w:rPr>
                <w:rFonts w:ascii="宋体" w:hAnsi="宋体" w:eastAsia="宋体"/>
                <w:b w:val="0"/>
                <w:sz w:val="20"/>
              </w:rPr>
              <w:t>联合课题品牌</w:t>
            </w:r>
          </w:p>
        </w:tc>
        <w:tc>
          <w:tcPr>
            <w:tcW w:type="dxa" w:w="7087"/>
          </w:tcPr>
          <w:p>
            <w:r/>
            <w:r>
              <w:rPr>
                <w:rFonts w:ascii="宋体" w:hAnsi="宋体" w:eastAsia="宋体"/>
                <w:b w:val="0"/>
                <w:sz w:val="20"/>
              </w:rPr>
              <w:t>形成“专业市场研究 + 高校智库 + 数据技术能力”的组合优势，打造行业影响力的长期研究品牌</w:t>
            </w:r>
          </w:p>
        </w:tc>
      </w:tr>
    </w:tbl>
    <w:p>
      <w:pPr>
        <w:spacing w:after="120"/>
      </w:pPr>
    </w:p>
    <w:p>
      <w:r>
        <w:br w:type="page"/>
      </w:r>
    </w:p>
    <w:p>
      <w:pPr>
        <w:spacing w:before="360" w:after="200"/>
      </w:pPr>
      <w:r>
        <w:rPr>
          <w:rFonts w:ascii="黑体" w:hAnsi="黑体" w:eastAsia="黑体"/>
          <w:b/>
          <w:color w:val="1F497D"/>
          <w:sz w:val="36"/>
        </w:rPr>
        <w:t>第一章  上海商办楼宇与产业园区市场发展背景</w:t>
      </w:r>
    </w:p>
    <w:p>
      <w:pPr>
        <w:spacing w:before="240" w:after="120"/>
      </w:pPr>
      <w:r>
        <w:rPr>
          <w:rFonts w:ascii="黑体" w:hAnsi="黑体" w:eastAsia="黑体"/>
          <w:b/>
          <w:color w:val="2F5597"/>
          <w:sz w:val="28"/>
        </w:rPr>
        <w:t>1.1 上海城市发展阶段变化</w:t>
      </w:r>
    </w:p>
    <w:p>
      <w:pPr>
        <w:pStyle w:val="ListBullet"/>
        <w:spacing w:line="324" w:lineRule="auto"/>
        <w:ind w:left="454"/>
      </w:pPr>
      <w:r/>
      <w:r>
        <w:rPr>
          <w:rFonts w:ascii="宋体" w:hAnsi="宋体" w:eastAsia="宋体"/>
          <w:b w:val="0"/>
          <w:sz w:val="22"/>
        </w:rPr>
        <w:t>上海城市更新进入深水区，存量空间盘活成为城市发展的核心命题；</w:t>
      </w:r>
    </w:p>
    <w:p>
      <w:pPr>
        <w:pStyle w:val="ListBullet"/>
        <w:spacing w:line="324" w:lineRule="auto"/>
        <w:ind w:left="454"/>
      </w:pPr>
      <w:r/>
      <w:r>
        <w:rPr>
          <w:rFonts w:ascii="宋体" w:hAnsi="宋体" w:eastAsia="宋体"/>
          <w:b w:val="0"/>
          <w:sz w:val="22"/>
        </w:rPr>
        <w:t>新质生产力培育对产业空间提出新的承载要求；</w:t>
      </w:r>
    </w:p>
    <w:p>
      <w:pPr>
        <w:pStyle w:val="ListBullet"/>
        <w:spacing w:line="324" w:lineRule="auto"/>
        <w:ind w:left="454"/>
      </w:pPr>
      <w:r/>
      <w:r>
        <w:rPr>
          <w:rFonts w:ascii="宋体" w:hAnsi="宋体" w:eastAsia="宋体"/>
          <w:b w:val="0"/>
          <w:sz w:val="22"/>
        </w:rPr>
        <w:t>“五个中心”建设推动商务办公、科创研发、总部经济和产业服务能级升级；</w:t>
      </w:r>
    </w:p>
    <w:p>
      <w:pPr>
        <w:pStyle w:val="ListBullet"/>
        <w:spacing w:line="324" w:lineRule="auto"/>
        <w:ind w:left="454"/>
      </w:pPr>
      <w:r/>
      <w:r>
        <w:rPr>
          <w:rFonts w:ascii="宋体" w:hAnsi="宋体" w:eastAsia="宋体"/>
          <w:b w:val="0"/>
          <w:sz w:val="22"/>
        </w:rPr>
        <w:t>传统增量开发逻辑向存量盘活、产业赋能、精细运营转变；</w:t>
      </w:r>
    </w:p>
    <w:p>
      <w:pPr>
        <w:pStyle w:val="ListBullet"/>
        <w:spacing w:line="324" w:lineRule="auto"/>
        <w:ind w:left="454"/>
      </w:pPr>
      <w:r/>
      <w:r>
        <w:rPr>
          <w:rFonts w:ascii="宋体" w:hAnsi="宋体" w:eastAsia="宋体"/>
          <w:b w:val="0"/>
          <w:sz w:val="22"/>
        </w:rPr>
        <w:t>商办楼宇与产业园区从“空间载体”升级为“产业生态平台”。</w:t>
      </w:r>
    </w:p>
    <w:p>
      <w:pPr>
        <w:spacing w:before="240" w:after="120"/>
      </w:pPr>
      <w:r>
        <w:rPr>
          <w:rFonts w:ascii="黑体" w:hAnsi="黑体" w:eastAsia="黑体"/>
          <w:b/>
          <w:color w:val="2F5597"/>
          <w:sz w:val="28"/>
        </w:rPr>
        <w:t>1.2 商办与产业园区市场运行逻辑变化</w:t>
      </w:r>
    </w:p>
    <w:p>
      <w:pPr>
        <w:pStyle w:val="ListBullet"/>
        <w:spacing w:line="324" w:lineRule="auto"/>
        <w:ind w:left="454"/>
      </w:pPr>
      <w:r/>
      <w:r>
        <w:rPr>
          <w:rFonts w:ascii="宋体" w:hAnsi="宋体" w:eastAsia="宋体"/>
          <w:b w:val="0"/>
          <w:sz w:val="22"/>
        </w:rPr>
        <w:t>从增量开发转向存量运营；</w:t>
      </w:r>
    </w:p>
    <w:p>
      <w:pPr>
        <w:pStyle w:val="ListBullet"/>
        <w:spacing w:line="324" w:lineRule="auto"/>
        <w:ind w:left="454"/>
      </w:pPr>
      <w:r/>
      <w:r>
        <w:rPr>
          <w:rFonts w:ascii="宋体" w:hAnsi="宋体" w:eastAsia="宋体"/>
          <w:b w:val="0"/>
          <w:sz w:val="22"/>
        </w:rPr>
        <w:t>从租金竞争转向产业服务竞争；</w:t>
      </w:r>
    </w:p>
    <w:p>
      <w:pPr>
        <w:pStyle w:val="ListBullet"/>
        <w:spacing w:line="324" w:lineRule="auto"/>
        <w:ind w:left="454"/>
      </w:pPr>
      <w:r/>
      <w:r>
        <w:rPr>
          <w:rFonts w:ascii="宋体" w:hAnsi="宋体" w:eastAsia="宋体"/>
          <w:b w:val="0"/>
          <w:sz w:val="22"/>
        </w:rPr>
        <w:t>从地段价值转向综合生态价值；</w:t>
      </w:r>
    </w:p>
    <w:p>
      <w:pPr>
        <w:pStyle w:val="ListBullet"/>
        <w:spacing w:line="324" w:lineRule="auto"/>
        <w:ind w:left="454"/>
      </w:pPr>
      <w:r/>
      <w:r>
        <w:rPr>
          <w:rFonts w:ascii="宋体" w:hAnsi="宋体" w:eastAsia="宋体"/>
          <w:b w:val="0"/>
          <w:sz w:val="22"/>
        </w:rPr>
        <w:t>从单一办公功能转向办公、研发、展示、交流、孵化、资本服务复合功能；</w:t>
      </w:r>
    </w:p>
    <w:p>
      <w:pPr>
        <w:pStyle w:val="ListBullet"/>
        <w:spacing w:line="324" w:lineRule="auto"/>
        <w:ind w:left="454"/>
      </w:pPr>
      <w:r/>
      <w:r>
        <w:rPr>
          <w:rFonts w:ascii="宋体" w:hAnsi="宋体" w:eastAsia="宋体"/>
          <w:b w:val="0"/>
          <w:sz w:val="22"/>
        </w:rPr>
        <w:t>从楼宇招商转向产业招商和企业生命周期服务；</w:t>
      </w:r>
    </w:p>
    <w:p>
      <w:pPr>
        <w:pStyle w:val="ListBullet"/>
        <w:spacing w:line="324" w:lineRule="auto"/>
        <w:ind w:left="454"/>
      </w:pPr>
      <w:r/>
      <w:r>
        <w:rPr>
          <w:rFonts w:ascii="宋体" w:hAnsi="宋体" w:eastAsia="宋体"/>
          <w:b w:val="0"/>
          <w:sz w:val="22"/>
        </w:rPr>
        <w:t>写字楼与产业园区边界趋于模糊，CBD、高新区、产业社区、城市更新片区进入新的竞合格局。</w:t>
      </w:r>
    </w:p>
    <w:p>
      <w:pPr>
        <w:spacing w:before="240" w:after="120"/>
      </w:pPr>
      <w:r>
        <w:rPr>
          <w:rFonts w:ascii="黑体" w:hAnsi="黑体" w:eastAsia="黑体"/>
          <w:b/>
          <w:color w:val="2F5597"/>
          <w:sz w:val="28"/>
        </w:rPr>
        <w:t>1.3 企业办公与产业空间需求变化</w:t>
      </w:r>
    </w:p>
    <w:p>
      <w:pPr>
        <w:spacing w:after="80" w:line="360" w:lineRule="auto"/>
        <w:ind w:firstLine="440"/>
      </w:pPr>
      <w:r>
        <w:rPr>
          <w:rFonts w:ascii="宋体" w:hAnsi="宋体" w:eastAsia="宋体"/>
          <w:b w:val="0"/>
          <w:sz w:val="22"/>
        </w:rPr>
        <w:t>企业选址逻辑从“地段优先、形象优先、总部标签优先”，转向“成本可控、产业协同、政策支持、交通便利、空间灵活、服务完善、人才可达”。</w:t>
      </w:r>
    </w:p>
    <w:tbl>
      <w:tblPr>
        <w:tblStyle w:val="LightGrid-Accent1"/>
        <w:tblW w:type="auto" w:w="0"/>
        <w:jc w:val="center"/>
        <w:tblLook w:firstColumn="1" w:firstRow="1" w:lastColumn="0" w:lastRow="0" w:noHBand="0" w:noVBand="1" w:val="04A0"/>
      </w:tblPr>
      <w:tblGrid>
        <w:gridCol w:w="4646"/>
        <w:gridCol w:w="4646"/>
      </w:tblGrid>
      <w:tr>
        <w:tc>
          <w:tcPr>
            <w:tcW w:type="dxa" w:w="2268"/>
            <w:shd w:fill="1F4E79"/>
          </w:tcPr>
          <w:p>
            <w:pPr>
              <w:jc w:val="center"/>
            </w:pPr>
            <w:r/>
            <w:r>
              <w:rPr>
                <w:rFonts w:ascii="黑体" w:hAnsi="黑体" w:eastAsia="黑体"/>
                <w:b/>
                <w:color w:val="FFFFFF"/>
                <w:sz w:val="20"/>
              </w:rPr>
              <w:t>企业类型</w:t>
            </w:r>
          </w:p>
        </w:tc>
        <w:tc>
          <w:tcPr>
            <w:tcW w:type="dxa" w:w="6803"/>
            <w:shd w:fill="1F4E79"/>
          </w:tcPr>
          <w:p>
            <w:pPr>
              <w:jc w:val="center"/>
            </w:pPr>
            <w:r/>
            <w:r>
              <w:rPr>
                <w:rFonts w:ascii="黑体" w:hAnsi="黑体" w:eastAsia="黑体"/>
                <w:b/>
                <w:color w:val="FFFFFF"/>
                <w:sz w:val="20"/>
              </w:rPr>
              <w:t>需求重点</w:t>
            </w:r>
          </w:p>
        </w:tc>
      </w:tr>
      <w:tr>
        <w:tc>
          <w:tcPr>
            <w:tcW w:type="dxa" w:w="2268"/>
          </w:tcPr>
          <w:p>
            <w:r/>
            <w:r>
              <w:rPr>
                <w:rFonts w:ascii="宋体" w:hAnsi="宋体" w:eastAsia="宋体"/>
                <w:b w:val="0"/>
                <w:sz w:val="20"/>
              </w:rPr>
              <w:t>科创企业</w:t>
            </w:r>
          </w:p>
        </w:tc>
        <w:tc>
          <w:tcPr>
            <w:tcW w:type="dxa" w:w="6803"/>
          </w:tcPr>
          <w:p>
            <w:r/>
            <w:r>
              <w:rPr>
                <w:rFonts w:ascii="宋体" w:hAnsi="宋体" w:eastAsia="宋体"/>
                <w:b w:val="0"/>
                <w:sz w:val="20"/>
              </w:rPr>
              <w:t>政策、人才、上下游生态、孵化与资本服务</w:t>
            </w:r>
          </w:p>
        </w:tc>
      </w:tr>
      <w:tr>
        <w:tc>
          <w:tcPr>
            <w:tcW w:type="dxa" w:w="2268"/>
          </w:tcPr>
          <w:p>
            <w:r/>
            <w:r>
              <w:rPr>
                <w:rFonts w:ascii="宋体" w:hAnsi="宋体" w:eastAsia="宋体"/>
                <w:b w:val="0"/>
                <w:sz w:val="20"/>
              </w:rPr>
              <w:t>专精特新企业</w:t>
            </w:r>
          </w:p>
        </w:tc>
        <w:tc>
          <w:tcPr>
            <w:tcW w:type="dxa" w:w="6803"/>
          </w:tcPr>
          <w:p>
            <w:r/>
            <w:r>
              <w:rPr>
                <w:rFonts w:ascii="宋体" w:hAnsi="宋体" w:eastAsia="宋体"/>
                <w:b w:val="0"/>
                <w:sz w:val="20"/>
              </w:rPr>
              <w:t>成本控制、技术平台、行业资质、政策兑现</w:t>
            </w:r>
          </w:p>
        </w:tc>
      </w:tr>
      <w:tr>
        <w:tc>
          <w:tcPr>
            <w:tcW w:type="dxa" w:w="2268"/>
          </w:tcPr>
          <w:p>
            <w:r/>
            <w:r>
              <w:rPr>
                <w:rFonts w:ascii="宋体" w:hAnsi="宋体" w:eastAsia="宋体"/>
                <w:b w:val="0"/>
                <w:sz w:val="20"/>
              </w:rPr>
              <w:t>总部企业</w:t>
            </w:r>
          </w:p>
        </w:tc>
        <w:tc>
          <w:tcPr>
            <w:tcW w:type="dxa" w:w="6803"/>
          </w:tcPr>
          <w:p>
            <w:r/>
            <w:r>
              <w:rPr>
                <w:rFonts w:ascii="宋体" w:hAnsi="宋体" w:eastAsia="宋体"/>
                <w:b w:val="0"/>
                <w:sz w:val="20"/>
              </w:rPr>
              <w:t>品牌展示、资源链接、稳定性、运营效率</w:t>
            </w:r>
          </w:p>
        </w:tc>
      </w:tr>
      <w:tr>
        <w:tc>
          <w:tcPr>
            <w:tcW w:type="dxa" w:w="2268"/>
          </w:tcPr>
          <w:p>
            <w:r/>
            <w:r>
              <w:rPr>
                <w:rFonts w:ascii="宋体" w:hAnsi="宋体" w:eastAsia="宋体"/>
                <w:b w:val="0"/>
                <w:sz w:val="20"/>
              </w:rPr>
              <w:t>生产性服务业</w:t>
            </w:r>
          </w:p>
        </w:tc>
        <w:tc>
          <w:tcPr>
            <w:tcW w:type="dxa" w:w="6803"/>
          </w:tcPr>
          <w:p>
            <w:r/>
            <w:r>
              <w:rPr>
                <w:rFonts w:ascii="宋体" w:hAnsi="宋体" w:eastAsia="宋体"/>
                <w:b w:val="0"/>
                <w:sz w:val="20"/>
              </w:rPr>
              <w:t>客户可达性、交通枢纽、商务配套</w:t>
            </w:r>
          </w:p>
        </w:tc>
      </w:tr>
      <w:tr>
        <w:tc>
          <w:tcPr>
            <w:tcW w:type="dxa" w:w="2268"/>
          </w:tcPr>
          <w:p>
            <w:r/>
            <w:r>
              <w:rPr>
                <w:rFonts w:ascii="宋体" w:hAnsi="宋体" w:eastAsia="宋体"/>
                <w:b w:val="0"/>
                <w:sz w:val="20"/>
              </w:rPr>
              <w:t>硬科技/制造企业</w:t>
            </w:r>
          </w:p>
        </w:tc>
        <w:tc>
          <w:tcPr>
            <w:tcW w:type="dxa" w:w="6803"/>
          </w:tcPr>
          <w:p>
            <w:r/>
            <w:r>
              <w:rPr>
                <w:rFonts w:ascii="宋体" w:hAnsi="宋体" w:eastAsia="宋体"/>
                <w:b w:val="0"/>
                <w:sz w:val="20"/>
              </w:rPr>
              <w:t>复合型研发办公、测试与厂办结合、产业链协同</w:t>
            </w:r>
          </w:p>
        </w:tc>
      </w:tr>
      <w:tr>
        <w:tc>
          <w:tcPr>
            <w:tcW w:type="dxa" w:w="2268"/>
          </w:tcPr>
          <w:p>
            <w:r/>
            <w:r>
              <w:rPr>
                <w:rFonts w:ascii="宋体" w:hAnsi="宋体" w:eastAsia="宋体"/>
                <w:b w:val="0"/>
                <w:sz w:val="20"/>
              </w:rPr>
              <w:t>中小成长企业</w:t>
            </w:r>
          </w:p>
        </w:tc>
        <w:tc>
          <w:tcPr>
            <w:tcW w:type="dxa" w:w="6803"/>
          </w:tcPr>
          <w:p>
            <w:r/>
            <w:r>
              <w:rPr>
                <w:rFonts w:ascii="宋体" w:hAnsi="宋体" w:eastAsia="宋体"/>
                <w:b w:val="0"/>
                <w:sz w:val="20"/>
              </w:rPr>
              <w:t>灵活面积、灵活租期、租金可承受、政策可达</w:t>
            </w:r>
          </w:p>
        </w:tc>
      </w:tr>
    </w:tbl>
    <w:p>
      <w:pPr>
        <w:spacing w:after="120"/>
      </w:pPr>
    </w:p>
    <w:p>
      <w:pPr>
        <w:spacing w:before="240" w:after="120"/>
      </w:pPr>
      <w:r>
        <w:rPr>
          <w:rFonts w:ascii="黑体" w:hAnsi="黑体" w:eastAsia="黑体"/>
          <w:b/>
          <w:color w:val="2F5597"/>
          <w:sz w:val="28"/>
        </w:rPr>
        <w:t>1.4 当前市场研究体系的不足</w:t>
      </w:r>
    </w:p>
    <w:p>
      <w:pPr>
        <w:pStyle w:val="ListBullet"/>
        <w:spacing w:line="324" w:lineRule="auto"/>
        <w:ind w:left="454"/>
      </w:pPr>
      <w:r/>
      <w:r>
        <w:rPr>
          <w:rFonts w:ascii="宋体" w:hAnsi="宋体" w:eastAsia="宋体"/>
          <w:b w:val="0"/>
          <w:sz w:val="22"/>
        </w:rPr>
        <w:t>研究范围偏窄：多聚焦核心商务区甲级写字楼，对乙级写字楼、商务园区、产业园区、孵化器、街镇载体覆盖不足；</w:t>
      </w:r>
    </w:p>
    <w:p>
      <w:pPr>
        <w:pStyle w:val="ListBullet"/>
        <w:spacing w:line="324" w:lineRule="auto"/>
        <w:ind w:left="454"/>
      </w:pPr>
      <w:r/>
      <w:r>
        <w:rPr>
          <w:rFonts w:ascii="宋体" w:hAnsi="宋体" w:eastAsia="宋体"/>
          <w:b w:val="0"/>
          <w:sz w:val="22"/>
        </w:rPr>
        <w:t>数据颗粒度不足：多以板块为单位，缺乏街道、镇、楼宇、园区、企业层面的精细化数据；</w:t>
      </w:r>
    </w:p>
    <w:p>
      <w:pPr>
        <w:pStyle w:val="ListBullet"/>
        <w:spacing w:line="324" w:lineRule="auto"/>
        <w:ind w:left="454"/>
      </w:pPr>
      <w:r/>
      <w:r>
        <w:rPr>
          <w:rFonts w:ascii="宋体" w:hAnsi="宋体" w:eastAsia="宋体"/>
          <w:b w:val="0"/>
          <w:sz w:val="22"/>
        </w:rPr>
        <w:t>需求端研究不足：对企业行业、规模、成长阶段、迁徙、扩租缩租等行为研究不够；</w:t>
      </w:r>
    </w:p>
    <w:p>
      <w:pPr>
        <w:pStyle w:val="ListBullet"/>
        <w:spacing w:line="324" w:lineRule="auto"/>
        <w:ind w:left="454"/>
      </w:pPr>
      <w:r/>
      <w:r>
        <w:rPr>
          <w:rFonts w:ascii="宋体" w:hAnsi="宋体" w:eastAsia="宋体"/>
          <w:b w:val="0"/>
          <w:sz w:val="22"/>
        </w:rPr>
        <w:t>落地应用不足：大量市场报告难以转化为招商清单、运营动作、资产策略和企业选址依据。</w:t>
      </w:r>
    </w:p>
    <w:p>
      <w:pPr>
        <w:spacing w:before="240" w:after="120"/>
      </w:pPr>
      <w:r>
        <w:rPr>
          <w:rFonts w:ascii="黑体" w:hAnsi="黑体" w:eastAsia="黑体"/>
          <w:b/>
          <w:color w:val="2F5597"/>
          <w:sz w:val="28"/>
        </w:rPr>
        <w:t>1.5 本报告的研究突破</w:t>
      </w:r>
    </w:p>
    <w:p>
      <w:pPr>
        <w:pStyle w:val="ListBullet"/>
        <w:spacing w:line="324" w:lineRule="auto"/>
        <w:ind w:left="454"/>
      </w:pPr>
      <w:r/>
      <w:r>
        <w:rPr>
          <w:rFonts w:ascii="宋体" w:hAnsi="宋体" w:eastAsia="宋体"/>
          <w:b w:val="0"/>
          <w:sz w:val="22"/>
        </w:rPr>
        <w:t>从核心区样本走向上海全域覆盖；</w:t>
      </w:r>
    </w:p>
    <w:p>
      <w:pPr>
        <w:pStyle w:val="ListBullet"/>
        <w:spacing w:line="324" w:lineRule="auto"/>
        <w:ind w:left="454"/>
      </w:pPr>
      <w:r/>
      <w:r>
        <w:rPr>
          <w:rFonts w:ascii="宋体" w:hAnsi="宋体" w:eastAsia="宋体"/>
          <w:b w:val="0"/>
          <w:sz w:val="22"/>
        </w:rPr>
        <w:t>从写字楼走向商办楼宇与产业园区全类型载体；</w:t>
      </w:r>
    </w:p>
    <w:p>
      <w:pPr>
        <w:pStyle w:val="ListBullet"/>
        <w:spacing w:line="324" w:lineRule="auto"/>
        <w:ind w:left="454"/>
      </w:pPr>
      <w:r/>
      <w:r>
        <w:rPr>
          <w:rFonts w:ascii="宋体" w:hAnsi="宋体" w:eastAsia="宋体"/>
          <w:b w:val="0"/>
          <w:sz w:val="22"/>
        </w:rPr>
        <w:t>从租金空置走向供需双侧研究；</w:t>
      </w:r>
    </w:p>
    <w:p>
      <w:pPr>
        <w:pStyle w:val="ListBullet"/>
        <w:spacing w:line="324" w:lineRule="auto"/>
        <w:ind w:left="454"/>
      </w:pPr>
      <w:r/>
      <w:r>
        <w:rPr>
          <w:rFonts w:ascii="宋体" w:hAnsi="宋体" w:eastAsia="宋体"/>
          <w:b w:val="0"/>
          <w:sz w:val="22"/>
        </w:rPr>
        <w:t>从静态市场描述走向企业迁徙和产业流动监测；</w:t>
      </w:r>
    </w:p>
    <w:p>
      <w:pPr>
        <w:pStyle w:val="ListBullet"/>
        <w:spacing w:line="324" w:lineRule="auto"/>
        <w:ind w:left="454"/>
      </w:pPr>
      <w:r/>
      <w:r>
        <w:rPr>
          <w:rFonts w:ascii="宋体" w:hAnsi="宋体" w:eastAsia="宋体"/>
          <w:b w:val="0"/>
          <w:sz w:val="22"/>
        </w:rPr>
        <w:t>从宏观研究走向政府招商、资产运营和企业选址应用。</w:t>
      </w:r>
    </w:p>
    <w:p>
      <w:r>
        <w:br w:type="page"/>
      </w:r>
    </w:p>
    <w:p>
      <w:pPr>
        <w:spacing w:before="360" w:after="200"/>
      </w:pPr>
      <w:r>
        <w:rPr>
          <w:rFonts w:ascii="黑体" w:hAnsi="黑体" w:eastAsia="黑体"/>
          <w:b/>
          <w:color w:val="1F497D"/>
          <w:sz w:val="36"/>
        </w:rPr>
        <w:t>第二章  上海全域商办楼宇与产业园区供给格局</w:t>
      </w:r>
    </w:p>
    <w:p>
      <w:pPr>
        <w:spacing w:before="240" w:after="120"/>
      </w:pPr>
      <w:r>
        <w:rPr>
          <w:rFonts w:ascii="黑体" w:hAnsi="黑体" w:eastAsia="黑体"/>
          <w:b/>
          <w:color w:val="2F5597"/>
          <w:sz w:val="28"/>
        </w:rPr>
        <w:t>2.1 全市商办与产业载体总体规模</w:t>
      </w:r>
    </w:p>
    <w:p>
      <w:pPr>
        <w:spacing w:after="80" w:line="360" w:lineRule="auto"/>
        <w:ind w:firstLine="440"/>
      </w:pPr>
      <w:r>
        <w:rPr>
          <w:rFonts w:ascii="宋体" w:hAnsi="宋体" w:eastAsia="宋体"/>
          <w:b w:val="0"/>
          <w:sz w:val="22"/>
        </w:rPr>
        <w:t>建议建立全市基础底数指标体系，主要包括：</w:t>
      </w:r>
    </w:p>
    <w:p>
      <w:pPr>
        <w:pStyle w:val="ListBullet"/>
        <w:spacing w:line="324" w:lineRule="auto"/>
        <w:ind w:left="454"/>
      </w:pPr>
      <w:r/>
      <w:r>
        <w:rPr>
          <w:rFonts w:ascii="宋体" w:hAnsi="宋体" w:eastAsia="宋体"/>
          <w:b w:val="0"/>
          <w:sz w:val="22"/>
        </w:rPr>
        <w:t>全市商办楼宇数量、产业园区数量、经营性办公及产业载体数量；</w:t>
      </w:r>
    </w:p>
    <w:p>
      <w:pPr>
        <w:pStyle w:val="ListBullet"/>
        <w:spacing w:line="324" w:lineRule="auto"/>
        <w:ind w:left="454"/>
      </w:pPr>
      <w:r/>
      <w:r>
        <w:rPr>
          <w:rFonts w:ascii="宋体" w:hAnsi="宋体" w:eastAsia="宋体"/>
          <w:b w:val="0"/>
          <w:sz w:val="22"/>
        </w:rPr>
        <w:t>总建筑面积、可租赁面积、当前可招商面积；</w:t>
      </w:r>
    </w:p>
    <w:p>
      <w:pPr>
        <w:pStyle w:val="ListBullet"/>
        <w:spacing w:line="324" w:lineRule="auto"/>
        <w:ind w:left="454"/>
      </w:pPr>
      <w:r/>
      <w:r>
        <w:rPr>
          <w:rFonts w:ascii="宋体" w:hAnsi="宋体" w:eastAsia="宋体"/>
          <w:b w:val="0"/>
          <w:sz w:val="22"/>
        </w:rPr>
        <w:t>新增供应面积、存量载体面积；</w:t>
      </w:r>
    </w:p>
    <w:p>
      <w:pPr>
        <w:pStyle w:val="ListBullet"/>
        <w:spacing w:line="324" w:lineRule="auto"/>
        <w:ind w:left="454"/>
      </w:pPr>
      <w:r/>
      <w:r>
        <w:rPr>
          <w:rFonts w:ascii="宋体" w:hAnsi="宋体" w:eastAsia="宋体"/>
          <w:b w:val="0"/>
          <w:sz w:val="22"/>
        </w:rPr>
        <w:t>载体分布密度（每平方公里载体数）及行政区/街镇结构。</w:t>
      </w:r>
    </w:p>
    <w:p>
      <w:pPr>
        <w:spacing w:before="240" w:after="120"/>
      </w:pPr>
      <w:r>
        <w:rPr>
          <w:rFonts w:ascii="黑体" w:hAnsi="黑体" w:eastAsia="黑体"/>
          <w:b/>
          <w:color w:val="2F5597"/>
          <w:sz w:val="28"/>
        </w:rPr>
        <w:t>2.2 按行政区划分的供给格局（16区）</w:t>
      </w:r>
    </w:p>
    <w:p>
      <w:pPr>
        <w:spacing w:after="80" w:line="360" w:lineRule="auto"/>
        <w:ind w:firstLine="440"/>
      </w:pPr>
      <w:r>
        <w:rPr>
          <w:rFonts w:ascii="宋体" w:hAnsi="宋体" w:eastAsia="宋体"/>
          <w:b w:val="0"/>
          <w:sz w:val="22"/>
        </w:rPr>
        <w:t>以上海16区为一级统计单元，每个区分析：载体数量、建筑面积、可租赁面积、代表性楼宇/园区、主要物业类型、主导产业、租金水平、空置压力、招商活跃度、未来供应压力。</w:t>
      </w:r>
    </w:p>
    <w:tbl>
      <w:tblPr>
        <w:tblStyle w:val="LightGrid-Accent1"/>
        <w:tblW w:type="auto" w:w="0"/>
        <w:jc w:val="center"/>
        <w:tblLook w:firstColumn="1" w:firstRow="1" w:lastColumn="0" w:lastRow="0" w:noHBand="0" w:noVBand="1" w:val="04A0"/>
      </w:tblPr>
      <w:tblGrid>
        <w:gridCol w:w="3097"/>
        <w:gridCol w:w="3097"/>
        <w:gridCol w:w="3097"/>
      </w:tblGrid>
      <w:tr>
        <w:tc>
          <w:tcPr>
            <w:tcW w:type="dxa" w:w="850"/>
            <w:shd w:fill="1F4E79"/>
          </w:tcPr>
          <w:p>
            <w:pPr>
              <w:jc w:val="center"/>
            </w:pPr>
            <w:r/>
            <w:r>
              <w:rPr>
                <w:rFonts w:ascii="黑体" w:hAnsi="黑体" w:eastAsia="黑体"/>
                <w:b/>
                <w:color w:val="FFFFFF"/>
                <w:sz w:val="20"/>
              </w:rPr>
              <w:t>序号</w:t>
            </w:r>
          </w:p>
        </w:tc>
        <w:tc>
          <w:tcPr>
            <w:tcW w:type="dxa" w:w="1701"/>
            <w:shd w:fill="1F4E79"/>
          </w:tcPr>
          <w:p>
            <w:pPr>
              <w:jc w:val="center"/>
            </w:pPr>
            <w:r/>
            <w:r>
              <w:rPr>
                <w:rFonts w:ascii="黑体" w:hAnsi="黑体" w:eastAsia="黑体"/>
                <w:b/>
                <w:color w:val="FFFFFF"/>
                <w:sz w:val="20"/>
              </w:rPr>
              <w:t>行政区</w:t>
            </w:r>
          </w:p>
        </w:tc>
        <w:tc>
          <w:tcPr>
            <w:tcW w:type="dxa" w:w="6520"/>
            <w:shd w:fill="1F4E79"/>
          </w:tcPr>
          <w:p>
            <w:pPr>
              <w:jc w:val="center"/>
            </w:pPr>
            <w:r/>
            <w:r>
              <w:rPr>
                <w:rFonts w:ascii="黑体" w:hAnsi="黑体" w:eastAsia="黑体"/>
                <w:b/>
                <w:color w:val="FFFFFF"/>
                <w:sz w:val="20"/>
              </w:rPr>
              <w:t>功能定位概览（示例）</w:t>
            </w:r>
          </w:p>
        </w:tc>
      </w:tr>
      <w:tr>
        <w:tc>
          <w:tcPr>
            <w:tcW w:type="dxa" w:w="850"/>
          </w:tcPr>
          <w:p>
            <w:r/>
            <w:r>
              <w:rPr>
                <w:rFonts w:ascii="宋体" w:hAnsi="宋体" w:eastAsia="宋体"/>
                <w:b w:val="0"/>
                <w:sz w:val="20"/>
              </w:rPr>
              <w:t>01</w:t>
            </w:r>
          </w:p>
        </w:tc>
        <w:tc>
          <w:tcPr>
            <w:tcW w:type="dxa" w:w="1701"/>
          </w:tcPr>
          <w:p>
            <w:r/>
            <w:r>
              <w:rPr>
                <w:rFonts w:ascii="宋体" w:hAnsi="宋体" w:eastAsia="宋体"/>
                <w:b w:val="0"/>
                <w:sz w:val="20"/>
              </w:rPr>
              <w:t>黄浦区</w:t>
            </w:r>
          </w:p>
        </w:tc>
        <w:tc>
          <w:tcPr>
            <w:tcW w:type="dxa" w:w="6520"/>
          </w:tcPr>
          <w:p>
            <w:r/>
            <w:r>
              <w:rPr>
                <w:rFonts w:ascii="宋体" w:hAnsi="宋体" w:eastAsia="宋体"/>
                <w:b w:val="0"/>
                <w:sz w:val="20"/>
              </w:rPr>
              <w:t>传统CBD、金融与专业服务、消费与文创</w:t>
            </w:r>
          </w:p>
        </w:tc>
      </w:tr>
      <w:tr>
        <w:tc>
          <w:tcPr>
            <w:tcW w:type="dxa" w:w="850"/>
          </w:tcPr>
          <w:p>
            <w:r/>
            <w:r>
              <w:rPr>
                <w:rFonts w:ascii="宋体" w:hAnsi="宋体" w:eastAsia="宋体"/>
                <w:b w:val="0"/>
                <w:sz w:val="20"/>
              </w:rPr>
              <w:t>02</w:t>
            </w:r>
          </w:p>
        </w:tc>
        <w:tc>
          <w:tcPr>
            <w:tcW w:type="dxa" w:w="1701"/>
          </w:tcPr>
          <w:p>
            <w:r/>
            <w:r>
              <w:rPr>
                <w:rFonts w:ascii="宋体" w:hAnsi="宋体" w:eastAsia="宋体"/>
                <w:b w:val="0"/>
                <w:sz w:val="20"/>
              </w:rPr>
              <w:t>静安区</w:t>
            </w:r>
          </w:p>
        </w:tc>
        <w:tc>
          <w:tcPr>
            <w:tcW w:type="dxa" w:w="6520"/>
          </w:tcPr>
          <w:p>
            <w:r/>
            <w:r>
              <w:rPr>
                <w:rFonts w:ascii="宋体" w:hAnsi="宋体" w:eastAsia="宋体"/>
                <w:b w:val="0"/>
                <w:sz w:val="20"/>
              </w:rPr>
              <w:t>高端商务、总部经济、消费服务</w:t>
            </w:r>
          </w:p>
        </w:tc>
      </w:tr>
      <w:tr>
        <w:tc>
          <w:tcPr>
            <w:tcW w:type="dxa" w:w="850"/>
          </w:tcPr>
          <w:p>
            <w:r/>
            <w:r>
              <w:rPr>
                <w:rFonts w:ascii="宋体" w:hAnsi="宋体" w:eastAsia="宋体"/>
                <w:b w:val="0"/>
                <w:sz w:val="20"/>
              </w:rPr>
              <w:t>03</w:t>
            </w:r>
          </w:p>
        </w:tc>
        <w:tc>
          <w:tcPr>
            <w:tcW w:type="dxa" w:w="1701"/>
          </w:tcPr>
          <w:p>
            <w:r/>
            <w:r>
              <w:rPr>
                <w:rFonts w:ascii="宋体" w:hAnsi="宋体" w:eastAsia="宋体"/>
                <w:b w:val="0"/>
                <w:sz w:val="20"/>
              </w:rPr>
              <w:t>徐汇区</w:t>
            </w:r>
          </w:p>
        </w:tc>
        <w:tc>
          <w:tcPr>
            <w:tcW w:type="dxa" w:w="6520"/>
          </w:tcPr>
          <w:p>
            <w:r/>
            <w:r>
              <w:rPr>
                <w:rFonts w:ascii="宋体" w:hAnsi="宋体" w:eastAsia="宋体"/>
                <w:b w:val="0"/>
                <w:sz w:val="20"/>
              </w:rPr>
              <w:t>AI、传媒、滨江总部</w:t>
            </w:r>
          </w:p>
        </w:tc>
      </w:tr>
      <w:tr>
        <w:tc>
          <w:tcPr>
            <w:tcW w:type="dxa" w:w="850"/>
          </w:tcPr>
          <w:p>
            <w:r/>
            <w:r>
              <w:rPr>
                <w:rFonts w:ascii="宋体" w:hAnsi="宋体" w:eastAsia="宋体"/>
                <w:b w:val="0"/>
                <w:sz w:val="20"/>
              </w:rPr>
              <w:t>04</w:t>
            </w:r>
          </w:p>
        </w:tc>
        <w:tc>
          <w:tcPr>
            <w:tcW w:type="dxa" w:w="1701"/>
          </w:tcPr>
          <w:p>
            <w:r/>
            <w:r>
              <w:rPr>
                <w:rFonts w:ascii="宋体" w:hAnsi="宋体" w:eastAsia="宋体"/>
                <w:b w:val="0"/>
                <w:sz w:val="20"/>
              </w:rPr>
              <w:t>长宁区</w:t>
            </w:r>
          </w:p>
        </w:tc>
        <w:tc>
          <w:tcPr>
            <w:tcW w:type="dxa" w:w="6520"/>
          </w:tcPr>
          <w:p>
            <w:r/>
            <w:r>
              <w:rPr>
                <w:rFonts w:ascii="宋体" w:hAnsi="宋体" w:eastAsia="宋体"/>
                <w:b w:val="0"/>
                <w:sz w:val="20"/>
              </w:rPr>
              <w:t>虹桥涉外商务、数字贸易</w:t>
            </w:r>
          </w:p>
        </w:tc>
      </w:tr>
      <w:tr>
        <w:tc>
          <w:tcPr>
            <w:tcW w:type="dxa" w:w="850"/>
          </w:tcPr>
          <w:p>
            <w:r/>
            <w:r>
              <w:rPr>
                <w:rFonts w:ascii="宋体" w:hAnsi="宋体" w:eastAsia="宋体"/>
                <w:b w:val="0"/>
                <w:sz w:val="20"/>
              </w:rPr>
              <w:t>05</w:t>
            </w:r>
          </w:p>
        </w:tc>
        <w:tc>
          <w:tcPr>
            <w:tcW w:type="dxa" w:w="1701"/>
          </w:tcPr>
          <w:p>
            <w:r/>
            <w:r>
              <w:rPr>
                <w:rFonts w:ascii="宋体" w:hAnsi="宋体" w:eastAsia="宋体"/>
                <w:b w:val="0"/>
                <w:sz w:val="20"/>
              </w:rPr>
              <w:t>普陀区</w:t>
            </w:r>
          </w:p>
        </w:tc>
        <w:tc>
          <w:tcPr>
            <w:tcW w:type="dxa" w:w="6520"/>
          </w:tcPr>
          <w:p>
            <w:r/>
            <w:r>
              <w:rPr>
                <w:rFonts w:ascii="宋体" w:hAnsi="宋体" w:eastAsia="宋体"/>
                <w:b w:val="0"/>
                <w:sz w:val="20"/>
              </w:rPr>
              <w:t>数字经济、城市更新载体</w:t>
            </w:r>
          </w:p>
        </w:tc>
      </w:tr>
      <w:tr>
        <w:tc>
          <w:tcPr>
            <w:tcW w:type="dxa" w:w="850"/>
          </w:tcPr>
          <w:p>
            <w:r/>
            <w:r>
              <w:rPr>
                <w:rFonts w:ascii="宋体" w:hAnsi="宋体" w:eastAsia="宋体"/>
                <w:b w:val="0"/>
                <w:sz w:val="20"/>
              </w:rPr>
              <w:t>06</w:t>
            </w:r>
          </w:p>
        </w:tc>
        <w:tc>
          <w:tcPr>
            <w:tcW w:type="dxa" w:w="1701"/>
          </w:tcPr>
          <w:p>
            <w:r/>
            <w:r>
              <w:rPr>
                <w:rFonts w:ascii="宋体" w:hAnsi="宋体" w:eastAsia="宋体"/>
                <w:b w:val="0"/>
                <w:sz w:val="20"/>
              </w:rPr>
              <w:t>虹口区</w:t>
            </w:r>
          </w:p>
        </w:tc>
        <w:tc>
          <w:tcPr>
            <w:tcW w:type="dxa" w:w="6520"/>
          </w:tcPr>
          <w:p>
            <w:r/>
            <w:r>
              <w:rPr>
                <w:rFonts w:ascii="宋体" w:hAnsi="宋体" w:eastAsia="宋体"/>
                <w:b w:val="0"/>
                <w:sz w:val="20"/>
              </w:rPr>
              <w:t>北外滩金融与航运服务</w:t>
            </w:r>
          </w:p>
        </w:tc>
      </w:tr>
      <w:tr>
        <w:tc>
          <w:tcPr>
            <w:tcW w:type="dxa" w:w="850"/>
          </w:tcPr>
          <w:p>
            <w:r/>
            <w:r>
              <w:rPr>
                <w:rFonts w:ascii="宋体" w:hAnsi="宋体" w:eastAsia="宋体"/>
                <w:b w:val="0"/>
                <w:sz w:val="20"/>
              </w:rPr>
              <w:t>07</w:t>
            </w:r>
          </w:p>
        </w:tc>
        <w:tc>
          <w:tcPr>
            <w:tcW w:type="dxa" w:w="1701"/>
          </w:tcPr>
          <w:p>
            <w:r/>
            <w:r>
              <w:rPr>
                <w:rFonts w:ascii="宋体" w:hAnsi="宋体" w:eastAsia="宋体"/>
                <w:b w:val="0"/>
                <w:sz w:val="20"/>
              </w:rPr>
              <w:t>杨浦区</w:t>
            </w:r>
          </w:p>
        </w:tc>
        <w:tc>
          <w:tcPr>
            <w:tcW w:type="dxa" w:w="6520"/>
          </w:tcPr>
          <w:p>
            <w:r/>
            <w:r>
              <w:rPr>
                <w:rFonts w:ascii="宋体" w:hAnsi="宋体" w:eastAsia="宋体"/>
                <w:b w:val="0"/>
                <w:sz w:val="20"/>
              </w:rPr>
              <w:t>在线新经济、AI、科创服务</w:t>
            </w:r>
          </w:p>
        </w:tc>
      </w:tr>
      <w:tr>
        <w:tc>
          <w:tcPr>
            <w:tcW w:type="dxa" w:w="850"/>
          </w:tcPr>
          <w:p>
            <w:r/>
            <w:r>
              <w:rPr>
                <w:rFonts w:ascii="宋体" w:hAnsi="宋体" w:eastAsia="宋体"/>
                <w:b w:val="0"/>
                <w:sz w:val="20"/>
              </w:rPr>
              <w:t>08</w:t>
            </w:r>
          </w:p>
        </w:tc>
        <w:tc>
          <w:tcPr>
            <w:tcW w:type="dxa" w:w="1701"/>
          </w:tcPr>
          <w:p>
            <w:r/>
            <w:r>
              <w:rPr>
                <w:rFonts w:ascii="宋体" w:hAnsi="宋体" w:eastAsia="宋体"/>
                <w:b w:val="0"/>
                <w:sz w:val="20"/>
              </w:rPr>
              <w:t>浦东新区</w:t>
            </w:r>
          </w:p>
        </w:tc>
        <w:tc>
          <w:tcPr>
            <w:tcW w:type="dxa" w:w="6520"/>
          </w:tcPr>
          <w:p>
            <w:r/>
            <w:r>
              <w:rPr>
                <w:rFonts w:ascii="宋体" w:hAnsi="宋体" w:eastAsia="宋体"/>
                <w:b w:val="0"/>
                <w:sz w:val="20"/>
              </w:rPr>
              <w:t>陆家嘴、前滩、张江、金桥、外高桥、临港</w:t>
            </w:r>
          </w:p>
        </w:tc>
      </w:tr>
      <w:tr>
        <w:tc>
          <w:tcPr>
            <w:tcW w:type="dxa" w:w="850"/>
          </w:tcPr>
          <w:p>
            <w:r/>
            <w:r>
              <w:rPr>
                <w:rFonts w:ascii="宋体" w:hAnsi="宋体" w:eastAsia="宋体"/>
                <w:b w:val="0"/>
                <w:sz w:val="20"/>
              </w:rPr>
              <w:t>09</w:t>
            </w:r>
          </w:p>
        </w:tc>
        <w:tc>
          <w:tcPr>
            <w:tcW w:type="dxa" w:w="1701"/>
          </w:tcPr>
          <w:p>
            <w:r/>
            <w:r>
              <w:rPr>
                <w:rFonts w:ascii="宋体" w:hAnsi="宋体" w:eastAsia="宋体"/>
                <w:b w:val="0"/>
                <w:sz w:val="20"/>
              </w:rPr>
              <w:t>闵行区</w:t>
            </w:r>
          </w:p>
        </w:tc>
        <w:tc>
          <w:tcPr>
            <w:tcW w:type="dxa" w:w="6520"/>
          </w:tcPr>
          <w:p>
            <w:r/>
            <w:r>
              <w:rPr>
                <w:rFonts w:ascii="宋体" w:hAnsi="宋体" w:eastAsia="宋体"/>
                <w:b w:val="0"/>
                <w:sz w:val="20"/>
              </w:rPr>
              <w:t>虹桥商务、紫竹、生命健康</w:t>
            </w:r>
          </w:p>
        </w:tc>
      </w:tr>
      <w:tr>
        <w:tc>
          <w:tcPr>
            <w:tcW w:type="dxa" w:w="850"/>
          </w:tcPr>
          <w:p>
            <w:r/>
            <w:r>
              <w:rPr>
                <w:rFonts w:ascii="宋体" w:hAnsi="宋体" w:eastAsia="宋体"/>
                <w:b w:val="0"/>
                <w:sz w:val="20"/>
              </w:rPr>
              <w:t>10</w:t>
            </w:r>
          </w:p>
        </w:tc>
        <w:tc>
          <w:tcPr>
            <w:tcW w:type="dxa" w:w="1701"/>
          </w:tcPr>
          <w:p>
            <w:r/>
            <w:r>
              <w:rPr>
                <w:rFonts w:ascii="宋体" w:hAnsi="宋体" w:eastAsia="宋体"/>
                <w:b w:val="0"/>
                <w:sz w:val="20"/>
              </w:rPr>
              <w:t>宝山区</w:t>
            </w:r>
          </w:p>
        </w:tc>
        <w:tc>
          <w:tcPr>
            <w:tcW w:type="dxa" w:w="6520"/>
          </w:tcPr>
          <w:p>
            <w:r/>
            <w:r>
              <w:rPr>
                <w:rFonts w:ascii="宋体" w:hAnsi="宋体" w:eastAsia="宋体"/>
                <w:b w:val="0"/>
                <w:sz w:val="20"/>
              </w:rPr>
              <w:t>南大智慧城、新材料</w:t>
            </w:r>
          </w:p>
        </w:tc>
      </w:tr>
      <w:tr>
        <w:tc>
          <w:tcPr>
            <w:tcW w:type="dxa" w:w="850"/>
          </w:tcPr>
          <w:p>
            <w:r/>
            <w:r>
              <w:rPr>
                <w:rFonts w:ascii="宋体" w:hAnsi="宋体" w:eastAsia="宋体"/>
                <w:b w:val="0"/>
                <w:sz w:val="20"/>
              </w:rPr>
              <w:t>11</w:t>
            </w:r>
          </w:p>
        </w:tc>
        <w:tc>
          <w:tcPr>
            <w:tcW w:type="dxa" w:w="1701"/>
          </w:tcPr>
          <w:p>
            <w:r/>
            <w:r>
              <w:rPr>
                <w:rFonts w:ascii="宋体" w:hAnsi="宋体" w:eastAsia="宋体"/>
                <w:b w:val="0"/>
                <w:sz w:val="20"/>
              </w:rPr>
              <w:t>嘉定区</w:t>
            </w:r>
          </w:p>
        </w:tc>
        <w:tc>
          <w:tcPr>
            <w:tcW w:type="dxa" w:w="6520"/>
          </w:tcPr>
          <w:p>
            <w:r/>
            <w:r>
              <w:rPr>
                <w:rFonts w:ascii="宋体" w:hAnsi="宋体" w:eastAsia="宋体"/>
                <w:b w:val="0"/>
                <w:sz w:val="20"/>
              </w:rPr>
              <w:t>智能汽车、高端制造</w:t>
            </w:r>
          </w:p>
        </w:tc>
      </w:tr>
      <w:tr>
        <w:tc>
          <w:tcPr>
            <w:tcW w:type="dxa" w:w="850"/>
          </w:tcPr>
          <w:p>
            <w:r/>
            <w:r>
              <w:rPr>
                <w:rFonts w:ascii="宋体" w:hAnsi="宋体" w:eastAsia="宋体"/>
                <w:b w:val="0"/>
                <w:sz w:val="20"/>
              </w:rPr>
              <w:t>12</w:t>
            </w:r>
          </w:p>
        </w:tc>
        <w:tc>
          <w:tcPr>
            <w:tcW w:type="dxa" w:w="1701"/>
          </w:tcPr>
          <w:p>
            <w:r/>
            <w:r>
              <w:rPr>
                <w:rFonts w:ascii="宋体" w:hAnsi="宋体" w:eastAsia="宋体"/>
                <w:b w:val="0"/>
                <w:sz w:val="20"/>
              </w:rPr>
              <w:t>松江区</w:t>
            </w:r>
          </w:p>
        </w:tc>
        <w:tc>
          <w:tcPr>
            <w:tcW w:type="dxa" w:w="6520"/>
          </w:tcPr>
          <w:p>
            <w:r/>
            <w:r>
              <w:rPr>
                <w:rFonts w:ascii="宋体" w:hAnsi="宋体" w:eastAsia="宋体"/>
                <w:b w:val="0"/>
                <w:sz w:val="20"/>
              </w:rPr>
              <w:t>G60科创走廊、高端制造</w:t>
            </w:r>
          </w:p>
        </w:tc>
      </w:tr>
      <w:tr>
        <w:tc>
          <w:tcPr>
            <w:tcW w:type="dxa" w:w="850"/>
          </w:tcPr>
          <w:p>
            <w:r/>
            <w:r>
              <w:rPr>
                <w:rFonts w:ascii="宋体" w:hAnsi="宋体" w:eastAsia="宋体"/>
                <w:b w:val="0"/>
                <w:sz w:val="20"/>
              </w:rPr>
              <w:t>13</w:t>
            </w:r>
          </w:p>
        </w:tc>
        <w:tc>
          <w:tcPr>
            <w:tcW w:type="dxa" w:w="1701"/>
          </w:tcPr>
          <w:p>
            <w:r/>
            <w:r>
              <w:rPr>
                <w:rFonts w:ascii="宋体" w:hAnsi="宋体" w:eastAsia="宋体"/>
                <w:b w:val="0"/>
                <w:sz w:val="20"/>
              </w:rPr>
              <w:t>青浦区</w:t>
            </w:r>
          </w:p>
        </w:tc>
        <w:tc>
          <w:tcPr>
            <w:tcW w:type="dxa" w:w="6520"/>
          </w:tcPr>
          <w:p>
            <w:r/>
            <w:r>
              <w:rPr>
                <w:rFonts w:ascii="宋体" w:hAnsi="宋体" w:eastAsia="宋体"/>
                <w:b w:val="0"/>
                <w:sz w:val="20"/>
              </w:rPr>
              <w:t>西虹桥、长三角一体化示范区</w:t>
            </w:r>
          </w:p>
        </w:tc>
      </w:tr>
      <w:tr>
        <w:tc>
          <w:tcPr>
            <w:tcW w:type="dxa" w:w="850"/>
          </w:tcPr>
          <w:p>
            <w:r/>
            <w:r>
              <w:rPr>
                <w:rFonts w:ascii="宋体" w:hAnsi="宋体" w:eastAsia="宋体"/>
                <w:b w:val="0"/>
                <w:sz w:val="20"/>
              </w:rPr>
              <w:t>14</w:t>
            </w:r>
          </w:p>
        </w:tc>
        <w:tc>
          <w:tcPr>
            <w:tcW w:type="dxa" w:w="1701"/>
          </w:tcPr>
          <w:p>
            <w:r/>
            <w:r>
              <w:rPr>
                <w:rFonts w:ascii="宋体" w:hAnsi="宋体" w:eastAsia="宋体"/>
                <w:b w:val="0"/>
                <w:sz w:val="20"/>
              </w:rPr>
              <w:t>奉贤区</w:t>
            </w:r>
          </w:p>
        </w:tc>
        <w:tc>
          <w:tcPr>
            <w:tcW w:type="dxa" w:w="6520"/>
          </w:tcPr>
          <w:p>
            <w:r/>
            <w:r>
              <w:rPr>
                <w:rFonts w:ascii="宋体" w:hAnsi="宋体" w:eastAsia="宋体"/>
                <w:b w:val="0"/>
                <w:sz w:val="20"/>
              </w:rPr>
              <w:t>东方美谷、临港南桥</w:t>
            </w:r>
          </w:p>
        </w:tc>
      </w:tr>
      <w:tr>
        <w:tc>
          <w:tcPr>
            <w:tcW w:type="dxa" w:w="850"/>
          </w:tcPr>
          <w:p>
            <w:r/>
            <w:r>
              <w:rPr>
                <w:rFonts w:ascii="宋体" w:hAnsi="宋体" w:eastAsia="宋体"/>
                <w:b w:val="0"/>
                <w:sz w:val="20"/>
              </w:rPr>
              <w:t>15</w:t>
            </w:r>
          </w:p>
        </w:tc>
        <w:tc>
          <w:tcPr>
            <w:tcW w:type="dxa" w:w="1701"/>
          </w:tcPr>
          <w:p>
            <w:r/>
            <w:r>
              <w:rPr>
                <w:rFonts w:ascii="宋体" w:hAnsi="宋体" w:eastAsia="宋体"/>
                <w:b w:val="0"/>
                <w:sz w:val="20"/>
              </w:rPr>
              <w:t>金山区</w:t>
            </w:r>
          </w:p>
        </w:tc>
        <w:tc>
          <w:tcPr>
            <w:tcW w:type="dxa" w:w="6520"/>
          </w:tcPr>
          <w:p>
            <w:r/>
            <w:r>
              <w:rPr>
                <w:rFonts w:ascii="宋体" w:hAnsi="宋体" w:eastAsia="宋体"/>
                <w:b w:val="0"/>
                <w:sz w:val="20"/>
              </w:rPr>
              <w:t>化工、新材料、临港金山</w:t>
            </w:r>
          </w:p>
        </w:tc>
      </w:tr>
      <w:tr>
        <w:tc>
          <w:tcPr>
            <w:tcW w:type="dxa" w:w="850"/>
          </w:tcPr>
          <w:p>
            <w:r/>
            <w:r>
              <w:rPr>
                <w:rFonts w:ascii="宋体" w:hAnsi="宋体" w:eastAsia="宋体"/>
                <w:b w:val="0"/>
                <w:sz w:val="20"/>
              </w:rPr>
              <w:t>16</w:t>
            </w:r>
          </w:p>
        </w:tc>
        <w:tc>
          <w:tcPr>
            <w:tcW w:type="dxa" w:w="1701"/>
          </w:tcPr>
          <w:p>
            <w:r/>
            <w:r>
              <w:rPr>
                <w:rFonts w:ascii="宋体" w:hAnsi="宋体" w:eastAsia="宋体"/>
                <w:b w:val="0"/>
                <w:sz w:val="20"/>
              </w:rPr>
              <w:t>崇明区</w:t>
            </w:r>
          </w:p>
        </w:tc>
        <w:tc>
          <w:tcPr>
            <w:tcW w:type="dxa" w:w="6520"/>
          </w:tcPr>
          <w:p>
            <w:r/>
            <w:r>
              <w:rPr>
                <w:rFonts w:ascii="宋体" w:hAnsi="宋体" w:eastAsia="宋体"/>
                <w:b w:val="0"/>
                <w:sz w:val="20"/>
              </w:rPr>
              <w:t>生态产业、海洋经济</w:t>
            </w:r>
          </w:p>
        </w:tc>
      </w:tr>
    </w:tbl>
    <w:p>
      <w:pPr>
        <w:spacing w:after="120"/>
      </w:pPr>
    </w:p>
    <w:p>
      <w:pPr>
        <w:spacing w:before="240" w:after="120"/>
      </w:pPr>
      <w:r>
        <w:rPr>
          <w:rFonts w:ascii="黑体" w:hAnsi="黑体" w:eastAsia="黑体"/>
          <w:b/>
          <w:color w:val="2F5597"/>
          <w:sz w:val="28"/>
        </w:rPr>
        <w:t>2.3 按街道/镇维度进行精细化拆解</w:t>
      </w:r>
    </w:p>
    <w:p>
      <w:pPr>
        <w:spacing w:after="80" w:line="360" w:lineRule="auto"/>
        <w:ind w:firstLine="440"/>
      </w:pPr>
      <w:r>
        <w:rPr>
          <w:rFonts w:ascii="宋体" w:hAnsi="宋体" w:eastAsia="宋体"/>
          <w:b w:val="0"/>
          <w:sz w:val="22"/>
        </w:rPr>
        <w:t>建议构建“行政区 — 街道/镇 — 楼宇/园区 — 企业”的四级数据库。这是报告的差异化亮点。街道/镇层面重点统计：</w:t>
      </w:r>
    </w:p>
    <w:p>
      <w:pPr>
        <w:pStyle w:val="ListBullet"/>
        <w:spacing w:line="324" w:lineRule="auto"/>
        <w:ind w:left="454"/>
      </w:pPr>
      <w:r/>
      <w:r>
        <w:rPr>
          <w:rFonts w:ascii="宋体" w:hAnsi="宋体" w:eastAsia="宋体"/>
          <w:b w:val="0"/>
          <w:sz w:val="22"/>
        </w:rPr>
        <w:t>楼宇园区数量、载体总面积；</w:t>
      </w:r>
    </w:p>
    <w:p>
      <w:pPr>
        <w:pStyle w:val="ListBullet"/>
        <w:spacing w:line="324" w:lineRule="auto"/>
        <w:ind w:left="454"/>
      </w:pPr>
      <w:r/>
      <w:r>
        <w:rPr>
          <w:rFonts w:ascii="宋体" w:hAnsi="宋体" w:eastAsia="宋体"/>
          <w:b w:val="0"/>
          <w:sz w:val="22"/>
        </w:rPr>
        <w:t>空置面积、平均租金、入驻企业数量；</w:t>
      </w:r>
    </w:p>
    <w:p>
      <w:pPr>
        <w:pStyle w:val="ListBullet"/>
        <w:spacing w:line="324" w:lineRule="auto"/>
        <w:ind w:left="454"/>
      </w:pPr>
      <w:r/>
      <w:r>
        <w:rPr>
          <w:rFonts w:ascii="宋体" w:hAnsi="宋体" w:eastAsia="宋体"/>
          <w:b w:val="0"/>
          <w:sz w:val="22"/>
        </w:rPr>
        <w:t>主导产业、企业净流入情况；</w:t>
      </w:r>
    </w:p>
    <w:p>
      <w:pPr>
        <w:pStyle w:val="ListBullet"/>
        <w:spacing w:line="324" w:lineRule="auto"/>
        <w:ind w:left="454"/>
      </w:pPr>
      <w:r/>
      <w:r>
        <w:rPr>
          <w:rFonts w:ascii="宋体" w:hAnsi="宋体" w:eastAsia="宋体"/>
          <w:b w:val="0"/>
          <w:sz w:val="22"/>
        </w:rPr>
        <w:t>招商活跃度、供需匹配度。</w:t>
      </w:r>
    </w:p>
    <w:p>
      <w:pPr>
        <w:spacing w:before="240" w:after="120"/>
      </w:pPr>
      <w:r>
        <w:rPr>
          <w:rFonts w:ascii="黑体" w:hAnsi="黑体" w:eastAsia="黑体"/>
          <w:b/>
          <w:color w:val="2F5597"/>
          <w:sz w:val="28"/>
        </w:rPr>
        <w:t>2.4 按物业类型划分供给结构</w:t>
      </w:r>
    </w:p>
    <w:tbl>
      <w:tblPr>
        <w:tblStyle w:val="LightGrid-Accent1"/>
        <w:tblW w:type="auto" w:w="0"/>
        <w:jc w:val="center"/>
        <w:tblLook w:firstColumn="1" w:firstRow="1" w:lastColumn="0" w:lastRow="0" w:noHBand="0" w:noVBand="1" w:val="04A0"/>
      </w:tblPr>
      <w:tblGrid>
        <w:gridCol w:w="3097"/>
        <w:gridCol w:w="3097"/>
        <w:gridCol w:w="3097"/>
      </w:tblGrid>
      <w:tr>
        <w:tc>
          <w:tcPr>
            <w:tcW w:type="dxa" w:w="2268"/>
            <w:shd w:fill="1F4E79"/>
          </w:tcPr>
          <w:p>
            <w:pPr>
              <w:jc w:val="center"/>
            </w:pPr>
            <w:r/>
            <w:r>
              <w:rPr>
                <w:rFonts w:ascii="黑体" w:hAnsi="黑体" w:eastAsia="黑体"/>
                <w:b/>
                <w:color w:val="FFFFFF"/>
                <w:sz w:val="20"/>
              </w:rPr>
              <w:t>物业类型</w:t>
            </w:r>
          </w:p>
        </w:tc>
        <w:tc>
          <w:tcPr>
            <w:tcW w:type="dxa" w:w="2268"/>
            <w:shd w:fill="1F4E79"/>
          </w:tcPr>
          <w:p>
            <w:pPr>
              <w:jc w:val="center"/>
            </w:pPr>
            <w:r/>
            <w:r>
              <w:rPr>
                <w:rFonts w:ascii="黑体" w:hAnsi="黑体" w:eastAsia="黑体"/>
                <w:b/>
                <w:color w:val="FFFFFF"/>
                <w:sz w:val="20"/>
              </w:rPr>
              <w:t>典型租金区间（示意）</w:t>
            </w:r>
          </w:p>
        </w:tc>
        <w:tc>
          <w:tcPr>
            <w:tcW w:type="dxa" w:w="4535"/>
            <w:shd w:fill="1F4E79"/>
          </w:tcPr>
          <w:p>
            <w:pPr>
              <w:jc w:val="center"/>
            </w:pPr>
            <w:r/>
            <w:r>
              <w:rPr>
                <w:rFonts w:ascii="黑体" w:hAnsi="黑体" w:eastAsia="黑体"/>
                <w:b/>
                <w:color w:val="FFFFFF"/>
                <w:sz w:val="20"/>
              </w:rPr>
              <w:t>典型客户群</w:t>
            </w:r>
          </w:p>
        </w:tc>
      </w:tr>
      <w:tr>
        <w:tc>
          <w:tcPr>
            <w:tcW w:type="dxa" w:w="2268"/>
          </w:tcPr>
          <w:p>
            <w:r/>
            <w:r>
              <w:rPr>
                <w:rFonts w:ascii="宋体" w:hAnsi="宋体" w:eastAsia="宋体"/>
                <w:b w:val="0"/>
                <w:sz w:val="20"/>
              </w:rPr>
              <w:t>超甲级写字楼</w:t>
            </w:r>
          </w:p>
        </w:tc>
        <w:tc>
          <w:tcPr>
            <w:tcW w:type="dxa" w:w="2268"/>
          </w:tcPr>
          <w:p>
            <w:r/>
            <w:r>
              <w:rPr>
                <w:rFonts w:ascii="宋体" w:hAnsi="宋体" w:eastAsia="宋体"/>
                <w:b w:val="0"/>
                <w:sz w:val="20"/>
              </w:rPr>
              <w:t>高</w:t>
            </w:r>
          </w:p>
        </w:tc>
        <w:tc>
          <w:tcPr>
            <w:tcW w:type="dxa" w:w="4535"/>
          </w:tcPr>
          <w:p>
            <w:r/>
            <w:r>
              <w:rPr>
                <w:rFonts w:ascii="宋体" w:hAnsi="宋体" w:eastAsia="宋体"/>
                <w:b w:val="0"/>
                <w:sz w:val="20"/>
              </w:rPr>
              <w:t>外资总部、金融机构、专业服务</w:t>
            </w:r>
          </w:p>
        </w:tc>
      </w:tr>
      <w:tr>
        <w:tc>
          <w:tcPr>
            <w:tcW w:type="dxa" w:w="2268"/>
          </w:tcPr>
          <w:p>
            <w:r/>
            <w:r>
              <w:rPr>
                <w:rFonts w:ascii="宋体" w:hAnsi="宋体" w:eastAsia="宋体"/>
                <w:b w:val="0"/>
                <w:sz w:val="20"/>
              </w:rPr>
              <w:t>甲级写字楼</w:t>
            </w:r>
          </w:p>
        </w:tc>
        <w:tc>
          <w:tcPr>
            <w:tcW w:type="dxa" w:w="2268"/>
          </w:tcPr>
          <w:p>
            <w:r/>
            <w:r>
              <w:rPr>
                <w:rFonts w:ascii="宋体" w:hAnsi="宋体" w:eastAsia="宋体"/>
                <w:b w:val="0"/>
                <w:sz w:val="20"/>
              </w:rPr>
              <w:t>中高</w:t>
            </w:r>
          </w:p>
        </w:tc>
        <w:tc>
          <w:tcPr>
            <w:tcW w:type="dxa" w:w="4535"/>
          </w:tcPr>
          <w:p>
            <w:r/>
            <w:r>
              <w:rPr>
                <w:rFonts w:ascii="宋体" w:hAnsi="宋体" w:eastAsia="宋体"/>
                <w:b w:val="0"/>
                <w:sz w:val="20"/>
              </w:rPr>
              <w:t>总部企业、金融、专业服务、外资</w:t>
            </w:r>
          </w:p>
        </w:tc>
      </w:tr>
      <w:tr>
        <w:tc>
          <w:tcPr>
            <w:tcW w:type="dxa" w:w="2268"/>
          </w:tcPr>
          <w:p>
            <w:r/>
            <w:r>
              <w:rPr>
                <w:rFonts w:ascii="宋体" w:hAnsi="宋体" w:eastAsia="宋体"/>
                <w:b w:val="0"/>
                <w:sz w:val="20"/>
              </w:rPr>
              <w:t>乙级写字楼</w:t>
            </w:r>
          </w:p>
        </w:tc>
        <w:tc>
          <w:tcPr>
            <w:tcW w:type="dxa" w:w="2268"/>
          </w:tcPr>
          <w:p>
            <w:r/>
            <w:r>
              <w:rPr>
                <w:rFonts w:ascii="宋体" w:hAnsi="宋体" w:eastAsia="宋体"/>
                <w:b w:val="0"/>
                <w:sz w:val="20"/>
              </w:rPr>
              <w:t>中</w:t>
            </w:r>
          </w:p>
        </w:tc>
        <w:tc>
          <w:tcPr>
            <w:tcW w:type="dxa" w:w="4535"/>
          </w:tcPr>
          <w:p>
            <w:r/>
            <w:r>
              <w:rPr>
                <w:rFonts w:ascii="宋体" w:hAnsi="宋体" w:eastAsia="宋体"/>
                <w:b w:val="0"/>
                <w:sz w:val="20"/>
              </w:rPr>
              <w:t>成长型企业、生产性服务业</w:t>
            </w:r>
          </w:p>
        </w:tc>
      </w:tr>
      <w:tr>
        <w:tc>
          <w:tcPr>
            <w:tcW w:type="dxa" w:w="2268"/>
          </w:tcPr>
          <w:p>
            <w:r/>
            <w:r>
              <w:rPr>
                <w:rFonts w:ascii="宋体" w:hAnsi="宋体" w:eastAsia="宋体"/>
                <w:b w:val="0"/>
                <w:sz w:val="20"/>
              </w:rPr>
              <w:t>普通商务楼宇</w:t>
            </w:r>
          </w:p>
        </w:tc>
        <w:tc>
          <w:tcPr>
            <w:tcW w:type="dxa" w:w="2268"/>
          </w:tcPr>
          <w:p>
            <w:r/>
            <w:r>
              <w:rPr>
                <w:rFonts w:ascii="宋体" w:hAnsi="宋体" w:eastAsia="宋体"/>
                <w:b w:val="0"/>
                <w:sz w:val="20"/>
              </w:rPr>
              <w:t>中低</w:t>
            </w:r>
          </w:p>
        </w:tc>
        <w:tc>
          <w:tcPr>
            <w:tcW w:type="dxa" w:w="4535"/>
          </w:tcPr>
          <w:p>
            <w:r/>
            <w:r>
              <w:rPr>
                <w:rFonts w:ascii="宋体" w:hAnsi="宋体" w:eastAsia="宋体"/>
                <w:b w:val="0"/>
                <w:sz w:val="20"/>
              </w:rPr>
              <w:t>中小企业、贸易类、本地服务业</w:t>
            </w:r>
          </w:p>
        </w:tc>
      </w:tr>
      <w:tr>
        <w:tc>
          <w:tcPr>
            <w:tcW w:type="dxa" w:w="2268"/>
          </w:tcPr>
          <w:p>
            <w:r/>
            <w:r>
              <w:rPr>
                <w:rFonts w:ascii="宋体" w:hAnsi="宋体" w:eastAsia="宋体"/>
                <w:b w:val="0"/>
                <w:sz w:val="20"/>
              </w:rPr>
              <w:t>总部办公园区</w:t>
            </w:r>
          </w:p>
        </w:tc>
        <w:tc>
          <w:tcPr>
            <w:tcW w:type="dxa" w:w="2268"/>
          </w:tcPr>
          <w:p>
            <w:r/>
            <w:r>
              <w:rPr>
                <w:rFonts w:ascii="宋体" w:hAnsi="宋体" w:eastAsia="宋体"/>
                <w:b w:val="0"/>
                <w:sz w:val="20"/>
              </w:rPr>
              <w:t>中高</w:t>
            </w:r>
          </w:p>
        </w:tc>
        <w:tc>
          <w:tcPr>
            <w:tcW w:type="dxa" w:w="4535"/>
          </w:tcPr>
          <w:p>
            <w:r/>
            <w:r>
              <w:rPr>
                <w:rFonts w:ascii="宋体" w:hAnsi="宋体" w:eastAsia="宋体"/>
                <w:b w:val="0"/>
                <w:sz w:val="20"/>
              </w:rPr>
              <w:t>总部企业、龙头企业</w:t>
            </w:r>
          </w:p>
        </w:tc>
      </w:tr>
      <w:tr>
        <w:tc>
          <w:tcPr>
            <w:tcW w:type="dxa" w:w="2268"/>
          </w:tcPr>
          <w:p>
            <w:r/>
            <w:r>
              <w:rPr>
                <w:rFonts w:ascii="宋体" w:hAnsi="宋体" w:eastAsia="宋体"/>
                <w:b w:val="0"/>
                <w:sz w:val="20"/>
              </w:rPr>
              <w:t>科创园区</w:t>
            </w:r>
          </w:p>
        </w:tc>
        <w:tc>
          <w:tcPr>
            <w:tcW w:type="dxa" w:w="2268"/>
          </w:tcPr>
          <w:p>
            <w:r/>
            <w:r>
              <w:rPr>
                <w:rFonts w:ascii="宋体" w:hAnsi="宋体" w:eastAsia="宋体"/>
                <w:b w:val="0"/>
                <w:sz w:val="20"/>
              </w:rPr>
              <w:t>中</w:t>
            </w:r>
          </w:p>
        </w:tc>
        <w:tc>
          <w:tcPr>
            <w:tcW w:type="dxa" w:w="4535"/>
          </w:tcPr>
          <w:p>
            <w:r/>
            <w:r>
              <w:rPr>
                <w:rFonts w:ascii="宋体" w:hAnsi="宋体" w:eastAsia="宋体"/>
                <w:b w:val="0"/>
                <w:sz w:val="20"/>
              </w:rPr>
              <w:t>科创企业、研发型企业</w:t>
            </w:r>
          </w:p>
        </w:tc>
      </w:tr>
      <w:tr>
        <w:tc>
          <w:tcPr>
            <w:tcW w:type="dxa" w:w="2268"/>
          </w:tcPr>
          <w:p>
            <w:r/>
            <w:r>
              <w:rPr>
                <w:rFonts w:ascii="宋体" w:hAnsi="宋体" w:eastAsia="宋体"/>
                <w:b w:val="0"/>
                <w:sz w:val="20"/>
              </w:rPr>
              <w:t>产业园区</w:t>
            </w:r>
          </w:p>
        </w:tc>
        <w:tc>
          <w:tcPr>
            <w:tcW w:type="dxa" w:w="2268"/>
          </w:tcPr>
          <w:p>
            <w:r/>
            <w:r>
              <w:rPr>
                <w:rFonts w:ascii="宋体" w:hAnsi="宋体" w:eastAsia="宋体"/>
                <w:b w:val="0"/>
                <w:sz w:val="20"/>
              </w:rPr>
              <w:t>低-中</w:t>
            </w:r>
          </w:p>
        </w:tc>
        <w:tc>
          <w:tcPr>
            <w:tcW w:type="dxa" w:w="4535"/>
          </w:tcPr>
          <w:p>
            <w:r/>
            <w:r>
              <w:rPr>
                <w:rFonts w:ascii="宋体" w:hAnsi="宋体" w:eastAsia="宋体"/>
                <w:b w:val="0"/>
                <w:sz w:val="20"/>
              </w:rPr>
              <w:t>高端制造、硬科技、生物医药等</w:t>
            </w:r>
          </w:p>
        </w:tc>
      </w:tr>
      <w:tr>
        <w:tc>
          <w:tcPr>
            <w:tcW w:type="dxa" w:w="2268"/>
          </w:tcPr>
          <w:p>
            <w:r/>
            <w:r>
              <w:rPr>
                <w:rFonts w:ascii="宋体" w:hAnsi="宋体" w:eastAsia="宋体"/>
                <w:b w:val="0"/>
                <w:sz w:val="20"/>
              </w:rPr>
              <w:t>孵化器/众创空间</w:t>
            </w:r>
          </w:p>
        </w:tc>
        <w:tc>
          <w:tcPr>
            <w:tcW w:type="dxa" w:w="2268"/>
          </w:tcPr>
          <w:p>
            <w:r/>
            <w:r>
              <w:rPr>
                <w:rFonts w:ascii="宋体" w:hAnsi="宋体" w:eastAsia="宋体"/>
                <w:b w:val="0"/>
                <w:sz w:val="20"/>
              </w:rPr>
              <w:t>低</w:t>
            </w:r>
          </w:p>
        </w:tc>
        <w:tc>
          <w:tcPr>
            <w:tcW w:type="dxa" w:w="4535"/>
          </w:tcPr>
          <w:p>
            <w:r/>
            <w:r>
              <w:rPr>
                <w:rFonts w:ascii="宋体" w:hAnsi="宋体" w:eastAsia="宋体"/>
                <w:b w:val="0"/>
                <w:sz w:val="20"/>
              </w:rPr>
              <w:t>初创企业、专精特新培育</w:t>
            </w:r>
          </w:p>
        </w:tc>
      </w:tr>
      <w:tr>
        <w:tc>
          <w:tcPr>
            <w:tcW w:type="dxa" w:w="2268"/>
          </w:tcPr>
          <w:p>
            <w:r/>
            <w:r>
              <w:rPr>
                <w:rFonts w:ascii="宋体" w:hAnsi="宋体" w:eastAsia="宋体"/>
                <w:b w:val="0"/>
                <w:sz w:val="20"/>
              </w:rPr>
              <w:t>城市更新改造载体</w:t>
            </w:r>
          </w:p>
        </w:tc>
        <w:tc>
          <w:tcPr>
            <w:tcW w:type="dxa" w:w="2268"/>
          </w:tcPr>
          <w:p>
            <w:r/>
            <w:r>
              <w:rPr>
                <w:rFonts w:ascii="宋体" w:hAnsi="宋体" w:eastAsia="宋体"/>
                <w:b w:val="0"/>
                <w:sz w:val="20"/>
              </w:rPr>
              <w:t>弹性</w:t>
            </w:r>
          </w:p>
        </w:tc>
        <w:tc>
          <w:tcPr>
            <w:tcW w:type="dxa" w:w="4535"/>
          </w:tcPr>
          <w:p>
            <w:r/>
            <w:r>
              <w:rPr>
                <w:rFonts w:ascii="宋体" w:hAnsi="宋体" w:eastAsia="宋体"/>
                <w:b w:val="0"/>
                <w:sz w:val="20"/>
              </w:rPr>
              <w:t>主题型、垂直型产业楼宇</w:t>
            </w:r>
          </w:p>
        </w:tc>
      </w:tr>
      <w:tr>
        <w:tc>
          <w:tcPr>
            <w:tcW w:type="dxa" w:w="2268"/>
          </w:tcPr>
          <w:p>
            <w:r/>
            <w:r>
              <w:rPr>
                <w:rFonts w:ascii="宋体" w:hAnsi="宋体" w:eastAsia="宋体"/>
                <w:b w:val="0"/>
                <w:sz w:val="20"/>
              </w:rPr>
              <w:t>国企平台持有载体</w:t>
            </w:r>
          </w:p>
        </w:tc>
        <w:tc>
          <w:tcPr>
            <w:tcW w:type="dxa" w:w="2268"/>
          </w:tcPr>
          <w:p>
            <w:r/>
            <w:r>
              <w:rPr>
                <w:rFonts w:ascii="宋体" w:hAnsi="宋体" w:eastAsia="宋体"/>
                <w:b w:val="0"/>
                <w:sz w:val="20"/>
              </w:rPr>
              <w:t>弹性</w:t>
            </w:r>
          </w:p>
        </w:tc>
        <w:tc>
          <w:tcPr>
            <w:tcW w:type="dxa" w:w="4535"/>
          </w:tcPr>
          <w:p>
            <w:r/>
            <w:r>
              <w:rPr>
                <w:rFonts w:ascii="宋体" w:hAnsi="宋体" w:eastAsia="宋体"/>
                <w:b w:val="0"/>
                <w:sz w:val="20"/>
              </w:rPr>
              <w:t>区属产业承载、招商配套</w:t>
            </w:r>
          </w:p>
        </w:tc>
      </w:tr>
    </w:tbl>
    <w:p>
      <w:pPr>
        <w:spacing w:after="120"/>
      </w:pPr>
    </w:p>
    <w:p>
      <w:pPr>
        <w:spacing w:before="240" w:after="120"/>
      </w:pPr>
      <w:r>
        <w:rPr>
          <w:rFonts w:ascii="黑体" w:hAnsi="黑体" w:eastAsia="黑体"/>
          <w:b/>
          <w:color w:val="2F5597"/>
          <w:sz w:val="28"/>
        </w:rPr>
        <w:t>2.5 重点商务与产业板块</w:t>
      </w:r>
    </w:p>
    <w:p>
      <w:pPr>
        <w:spacing w:after="80" w:line="360" w:lineRule="auto"/>
        <w:ind w:firstLine="440"/>
      </w:pPr>
      <w:r>
        <w:rPr>
          <w:rFonts w:ascii="宋体" w:hAnsi="宋体" w:eastAsia="宋体"/>
          <w:b w:val="0"/>
          <w:sz w:val="22"/>
        </w:rPr>
        <w:t>建议在区/街镇基础上选择如下重点板块进行专项分析（每板块单列页面）：</w:t>
      </w:r>
    </w:p>
    <w:p>
      <w:pPr>
        <w:spacing w:after="80" w:line="360" w:lineRule="auto"/>
        <w:ind w:firstLine="440"/>
      </w:pPr>
      <w:r>
        <w:rPr>
          <w:rFonts w:ascii="宋体" w:hAnsi="宋体" w:eastAsia="宋体"/>
          <w:b w:val="0"/>
          <w:sz w:val="22"/>
        </w:rPr>
        <w:t>陆家嘴、前滩、张江科学城、临港新片区、徐汇滨江、北外滩、大虹桥、杨浦滨江、五角场、南京西路、人民广场、漕河泾、紫竹、金桥、外高桥、嘉定汽车城、松江G60科创走廊、青浦西虹桥、宝山南大智慧城、奉贤东方美谷。</w:t>
      </w:r>
    </w:p>
    <w:p>
      <w:pPr>
        <w:spacing w:after="80" w:line="360" w:lineRule="auto"/>
        <w:ind w:firstLine="440"/>
      </w:pPr>
      <w:r>
        <w:rPr>
          <w:rFonts w:ascii="宋体" w:hAnsi="宋体" w:eastAsia="宋体"/>
          <w:b w:val="0"/>
          <w:sz w:val="22"/>
        </w:rPr>
        <w:t>每个板块建议分析：板块定位、核心载体、租金区间、空置水平、主导产业、企业结构、产业集聚度、未来供应压力、招商机会。</w:t>
      </w:r>
    </w:p>
    <w:p>
      <w:r>
        <w:br w:type="page"/>
      </w:r>
    </w:p>
    <w:p>
      <w:pPr>
        <w:spacing w:before="360" w:after="200"/>
      </w:pPr>
      <w:r>
        <w:rPr>
          <w:rFonts w:ascii="黑体" w:hAnsi="黑体" w:eastAsia="黑体"/>
          <w:b/>
          <w:color w:val="1F497D"/>
          <w:sz w:val="36"/>
        </w:rPr>
        <w:t>第三章  上海商办与产业园区租金、空置和价格体系</w:t>
      </w:r>
    </w:p>
    <w:p>
      <w:pPr>
        <w:spacing w:before="240" w:after="120"/>
      </w:pPr>
      <w:r>
        <w:rPr>
          <w:rFonts w:ascii="黑体" w:hAnsi="黑体" w:eastAsia="黑体"/>
          <w:b/>
          <w:color w:val="2F5597"/>
          <w:sz w:val="28"/>
        </w:rPr>
        <w:t>3.1 全市租金水平分析（分层统计）</w:t>
      </w:r>
    </w:p>
    <w:p>
      <w:pPr>
        <w:pStyle w:val="ListBullet"/>
        <w:spacing w:line="324" w:lineRule="auto"/>
        <w:ind w:left="454"/>
      </w:pPr>
      <w:r/>
      <w:r>
        <w:rPr>
          <w:rFonts w:ascii="宋体" w:hAnsi="宋体" w:eastAsia="宋体"/>
          <w:b w:val="0"/>
          <w:sz w:val="22"/>
        </w:rPr>
        <w:t>全市平均报价租金、全市平均成交租金；</w:t>
      </w:r>
    </w:p>
    <w:p>
      <w:pPr>
        <w:pStyle w:val="ListBullet"/>
        <w:spacing w:line="324" w:lineRule="auto"/>
        <w:ind w:left="454"/>
      </w:pPr>
      <w:r/>
      <w:r>
        <w:rPr>
          <w:rFonts w:ascii="宋体" w:hAnsi="宋体" w:eastAsia="宋体"/>
          <w:b w:val="0"/>
          <w:sz w:val="22"/>
        </w:rPr>
        <w:t>核心商务区/次核心商务区/产业园区/乙级及以下楼宇租金；</w:t>
      </w:r>
    </w:p>
    <w:p>
      <w:pPr>
        <w:pStyle w:val="ListBullet"/>
        <w:spacing w:line="324" w:lineRule="auto"/>
        <w:ind w:left="454"/>
      </w:pPr>
      <w:r/>
      <w:r>
        <w:rPr>
          <w:rFonts w:ascii="宋体" w:hAnsi="宋体" w:eastAsia="宋体"/>
          <w:b w:val="0"/>
          <w:sz w:val="22"/>
        </w:rPr>
        <w:t>16区租金对比、不同物业等级租金对比；</w:t>
      </w:r>
    </w:p>
    <w:p>
      <w:pPr>
        <w:pStyle w:val="ListBullet"/>
        <w:spacing w:line="324" w:lineRule="auto"/>
        <w:ind w:left="454"/>
      </w:pPr>
      <w:r/>
      <w:r>
        <w:rPr>
          <w:rFonts w:ascii="宋体" w:hAnsi="宋体" w:eastAsia="宋体"/>
          <w:b w:val="0"/>
          <w:sz w:val="22"/>
        </w:rPr>
        <w:t>重点板块租金对比与板块内细分租金。</w:t>
      </w:r>
    </w:p>
    <w:p>
      <w:pPr>
        <w:spacing w:before="240" w:after="120"/>
      </w:pPr>
      <w:r>
        <w:rPr>
          <w:rFonts w:ascii="黑体" w:hAnsi="黑体" w:eastAsia="黑体"/>
          <w:b/>
          <w:color w:val="2F5597"/>
          <w:sz w:val="28"/>
        </w:rPr>
        <w:t>3.2 租金分化特征</w:t>
      </w:r>
    </w:p>
    <w:p>
      <w:pPr>
        <w:pStyle w:val="ListBullet"/>
        <w:spacing w:line="324" w:lineRule="auto"/>
        <w:ind w:left="454"/>
      </w:pPr>
      <w:r/>
      <w:r>
        <w:rPr>
          <w:rFonts w:ascii="宋体" w:hAnsi="宋体" w:eastAsia="宋体"/>
          <w:b w:val="0"/>
          <w:sz w:val="22"/>
        </w:rPr>
        <w:t>核心区租金是否继续承压；</w:t>
      </w:r>
    </w:p>
    <w:p>
      <w:pPr>
        <w:pStyle w:val="ListBullet"/>
        <w:spacing w:line="324" w:lineRule="auto"/>
        <w:ind w:left="454"/>
      </w:pPr>
      <w:r/>
      <w:r>
        <w:rPr>
          <w:rFonts w:ascii="宋体" w:hAnsi="宋体" w:eastAsia="宋体"/>
          <w:b w:val="0"/>
          <w:sz w:val="22"/>
        </w:rPr>
        <w:t>非核心区租金压力是否扩散；</w:t>
      </w:r>
    </w:p>
    <w:p>
      <w:pPr>
        <w:pStyle w:val="ListBullet"/>
        <w:spacing w:line="324" w:lineRule="auto"/>
        <w:ind w:left="454"/>
      </w:pPr>
      <w:r/>
      <w:r>
        <w:rPr>
          <w:rFonts w:ascii="宋体" w:hAnsi="宋体" w:eastAsia="宋体"/>
          <w:b w:val="0"/>
          <w:sz w:val="22"/>
        </w:rPr>
        <w:t>产业园区租金韧性；</w:t>
      </w:r>
    </w:p>
    <w:p>
      <w:pPr>
        <w:pStyle w:val="ListBullet"/>
        <w:spacing w:line="324" w:lineRule="auto"/>
        <w:ind w:left="454"/>
      </w:pPr>
      <w:r/>
      <w:r>
        <w:rPr>
          <w:rFonts w:ascii="宋体" w:hAnsi="宋体" w:eastAsia="宋体"/>
          <w:b w:val="0"/>
          <w:sz w:val="22"/>
        </w:rPr>
        <w:t>新兴板块租金成长性；</w:t>
      </w:r>
    </w:p>
    <w:p>
      <w:pPr>
        <w:pStyle w:val="ListBullet"/>
        <w:spacing w:line="324" w:lineRule="auto"/>
        <w:ind w:left="454"/>
      </w:pPr>
      <w:r/>
      <w:r>
        <w:rPr>
          <w:rFonts w:ascii="宋体" w:hAnsi="宋体" w:eastAsia="宋体"/>
          <w:b w:val="0"/>
          <w:sz w:val="22"/>
        </w:rPr>
        <w:t>高品质楼宇与普通楼宇价差；</w:t>
      </w:r>
    </w:p>
    <w:p>
      <w:pPr>
        <w:pStyle w:val="ListBullet"/>
        <w:spacing w:line="324" w:lineRule="auto"/>
        <w:ind w:left="454"/>
      </w:pPr>
      <w:r/>
      <w:r>
        <w:rPr>
          <w:rFonts w:ascii="宋体" w:hAnsi="宋体" w:eastAsia="宋体"/>
          <w:b w:val="0"/>
          <w:sz w:val="22"/>
        </w:rPr>
        <w:t>同一区域内不同楼宇间的价格分化。</w:t>
      </w:r>
    </w:p>
    <w:p>
      <w:pPr>
        <w:spacing w:before="240" w:after="120"/>
      </w:pPr>
      <w:r>
        <w:rPr>
          <w:rFonts w:ascii="黑体" w:hAnsi="黑体" w:eastAsia="黑体"/>
          <w:b/>
          <w:color w:val="2F5597"/>
          <w:sz w:val="28"/>
        </w:rPr>
        <w:t>3.3 空置率分析</w:t>
      </w:r>
    </w:p>
    <w:p>
      <w:pPr>
        <w:pStyle w:val="ListBullet"/>
        <w:spacing w:line="324" w:lineRule="auto"/>
        <w:ind w:left="454"/>
      </w:pPr>
      <w:r/>
      <w:r>
        <w:rPr>
          <w:rFonts w:ascii="宋体" w:hAnsi="宋体" w:eastAsia="宋体"/>
          <w:b w:val="0"/>
          <w:sz w:val="22"/>
        </w:rPr>
        <w:t>全市整体空置率、各区/各街镇空置率；</w:t>
      </w:r>
    </w:p>
    <w:p>
      <w:pPr>
        <w:pStyle w:val="ListBullet"/>
        <w:spacing w:line="324" w:lineRule="auto"/>
        <w:ind w:left="454"/>
      </w:pPr>
      <w:r/>
      <w:r>
        <w:rPr>
          <w:rFonts w:ascii="宋体" w:hAnsi="宋体" w:eastAsia="宋体"/>
          <w:b w:val="0"/>
          <w:sz w:val="22"/>
        </w:rPr>
        <w:t>各物业类型空置率；</w:t>
      </w:r>
    </w:p>
    <w:p>
      <w:pPr>
        <w:pStyle w:val="ListBullet"/>
        <w:spacing w:line="324" w:lineRule="auto"/>
        <w:ind w:left="454"/>
      </w:pPr>
      <w:r/>
      <w:r>
        <w:rPr>
          <w:rFonts w:ascii="宋体" w:hAnsi="宋体" w:eastAsia="宋体"/>
          <w:b w:val="0"/>
          <w:sz w:val="22"/>
        </w:rPr>
        <w:t>重点板块空置率；</w:t>
      </w:r>
    </w:p>
    <w:p>
      <w:pPr>
        <w:pStyle w:val="ListBullet"/>
        <w:spacing w:line="324" w:lineRule="auto"/>
        <w:ind w:left="454"/>
      </w:pPr>
      <w:r/>
      <w:r>
        <w:rPr>
          <w:rFonts w:ascii="宋体" w:hAnsi="宋体" w:eastAsia="宋体"/>
          <w:b w:val="0"/>
          <w:sz w:val="22"/>
        </w:rPr>
        <w:t>重点楼宇/园区空置表现；</w:t>
      </w:r>
    </w:p>
    <w:p>
      <w:pPr>
        <w:pStyle w:val="ListBullet"/>
        <w:spacing w:line="324" w:lineRule="auto"/>
        <w:ind w:left="454"/>
      </w:pPr>
      <w:r/>
      <w:r>
        <w:rPr>
          <w:rFonts w:ascii="宋体" w:hAnsi="宋体" w:eastAsia="宋体"/>
          <w:b w:val="0"/>
          <w:sz w:val="22"/>
        </w:rPr>
        <w:t>新增供应导致的去化压力测算。</w:t>
      </w:r>
    </w:p>
    <w:p>
      <w:pPr>
        <w:spacing w:before="240" w:after="120"/>
      </w:pPr>
      <w:r>
        <w:rPr>
          <w:rFonts w:ascii="黑体" w:hAnsi="黑体" w:eastAsia="黑体"/>
          <w:b/>
          <w:color w:val="2F5597"/>
          <w:sz w:val="28"/>
        </w:rPr>
        <w:t>3.4 空置面积结构分析</w:t>
      </w:r>
    </w:p>
    <w:p>
      <w:pPr>
        <w:spacing w:after="80" w:line="360" w:lineRule="auto"/>
        <w:ind w:firstLine="440"/>
      </w:pPr>
      <w:r>
        <w:rPr>
          <w:rFonts w:ascii="宋体" w:hAnsi="宋体" w:eastAsia="宋体"/>
          <w:b w:val="0"/>
          <w:sz w:val="22"/>
        </w:rPr>
        <w:t>不仅看空置率，更要看空置结构，对招商与资管价值更高：</w:t>
      </w:r>
    </w:p>
    <w:tbl>
      <w:tblPr>
        <w:tblStyle w:val="LightGrid-Accent1"/>
        <w:tblW w:type="auto" w:w="0"/>
        <w:jc w:val="center"/>
        <w:tblLook w:firstColumn="1" w:firstRow="1" w:lastColumn="0" w:lastRow="0" w:noHBand="0" w:noVBand="1" w:val="04A0"/>
      </w:tblPr>
      <w:tblGrid>
        <w:gridCol w:w="3097"/>
        <w:gridCol w:w="3097"/>
        <w:gridCol w:w="3097"/>
      </w:tblGrid>
      <w:tr>
        <w:tc>
          <w:tcPr>
            <w:tcW w:type="dxa" w:w="1701"/>
            <w:shd w:fill="1F4E79"/>
          </w:tcPr>
          <w:p>
            <w:pPr>
              <w:jc w:val="center"/>
            </w:pPr>
            <w:r/>
            <w:r>
              <w:rPr>
                <w:rFonts w:ascii="黑体" w:hAnsi="黑体" w:eastAsia="黑体"/>
                <w:b/>
                <w:color w:val="FFFFFF"/>
                <w:sz w:val="20"/>
              </w:rPr>
              <w:t>结构维度</w:t>
            </w:r>
          </w:p>
        </w:tc>
        <w:tc>
          <w:tcPr>
            <w:tcW w:type="dxa" w:w="2551"/>
            <w:shd w:fill="1F4E79"/>
          </w:tcPr>
          <w:p>
            <w:pPr>
              <w:jc w:val="center"/>
            </w:pPr>
            <w:r/>
            <w:r>
              <w:rPr>
                <w:rFonts w:ascii="黑体" w:hAnsi="黑体" w:eastAsia="黑体"/>
                <w:b/>
                <w:color w:val="FFFFFF"/>
                <w:sz w:val="20"/>
              </w:rPr>
              <w:t>释义</w:t>
            </w:r>
          </w:p>
        </w:tc>
        <w:tc>
          <w:tcPr>
            <w:tcW w:type="dxa" w:w="4819"/>
            <w:shd w:fill="1F4E79"/>
          </w:tcPr>
          <w:p>
            <w:pPr>
              <w:jc w:val="center"/>
            </w:pPr>
            <w:r/>
            <w:r>
              <w:rPr>
                <w:rFonts w:ascii="黑体" w:hAnsi="黑体" w:eastAsia="黑体"/>
                <w:b/>
                <w:color w:val="FFFFFF"/>
                <w:sz w:val="20"/>
              </w:rPr>
              <w:t>招商资管含义</w:t>
            </w:r>
          </w:p>
        </w:tc>
      </w:tr>
      <w:tr>
        <w:tc>
          <w:tcPr>
            <w:tcW w:type="dxa" w:w="1701"/>
          </w:tcPr>
          <w:p>
            <w:r/>
            <w:r>
              <w:rPr>
                <w:rFonts w:ascii="宋体" w:hAnsi="宋体" w:eastAsia="宋体"/>
                <w:b w:val="0"/>
                <w:sz w:val="20"/>
              </w:rPr>
              <w:t>小面积空置</w:t>
            </w:r>
          </w:p>
        </w:tc>
        <w:tc>
          <w:tcPr>
            <w:tcW w:type="dxa" w:w="2551"/>
          </w:tcPr>
          <w:p>
            <w:r/>
            <w:r>
              <w:rPr>
                <w:rFonts w:ascii="宋体" w:hAnsi="宋体" w:eastAsia="宋体"/>
                <w:b w:val="0"/>
                <w:sz w:val="20"/>
              </w:rPr>
              <w:t>≤300㎡</w:t>
            </w:r>
          </w:p>
        </w:tc>
        <w:tc>
          <w:tcPr>
            <w:tcW w:type="dxa" w:w="4819"/>
          </w:tcPr>
          <w:p>
            <w:r/>
            <w:r>
              <w:rPr>
                <w:rFonts w:ascii="宋体" w:hAnsi="宋体" w:eastAsia="宋体"/>
                <w:b w:val="0"/>
                <w:sz w:val="20"/>
              </w:rPr>
              <w:t>适配初创、小微团队</w:t>
            </w:r>
          </w:p>
        </w:tc>
      </w:tr>
      <w:tr>
        <w:tc>
          <w:tcPr>
            <w:tcW w:type="dxa" w:w="1701"/>
          </w:tcPr>
          <w:p>
            <w:r/>
            <w:r>
              <w:rPr>
                <w:rFonts w:ascii="宋体" w:hAnsi="宋体" w:eastAsia="宋体"/>
                <w:b w:val="0"/>
                <w:sz w:val="20"/>
              </w:rPr>
              <w:t>中面积空置</w:t>
            </w:r>
          </w:p>
        </w:tc>
        <w:tc>
          <w:tcPr>
            <w:tcW w:type="dxa" w:w="2551"/>
          </w:tcPr>
          <w:p>
            <w:r/>
            <w:r>
              <w:rPr>
                <w:rFonts w:ascii="宋体" w:hAnsi="宋体" w:eastAsia="宋体"/>
                <w:b w:val="0"/>
                <w:sz w:val="20"/>
              </w:rPr>
              <w:t>300-1000㎡</w:t>
            </w:r>
          </w:p>
        </w:tc>
        <w:tc>
          <w:tcPr>
            <w:tcW w:type="dxa" w:w="4819"/>
          </w:tcPr>
          <w:p>
            <w:r/>
            <w:r>
              <w:rPr>
                <w:rFonts w:ascii="宋体" w:hAnsi="宋体" w:eastAsia="宋体"/>
                <w:b w:val="0"/>
                <w:sz w:val="20"/>
              </w:rPr>
              <w:t>适配成长型、中型企业</w:t>
            </w:r>
          </w:p>
        </w:tc>
      </w:tr>
      <w:tr>
        <w:tc>
          <w:tcPr>
            <w:tcW w:type="dxa" w:w="1701"/>
          </w:tcPr>
          <w:p>
            <w:r/>
            <w:r>
              <w:rPr>
                <w:rFonts w:ascii="宋体" w:hAnsi="宋体" w:eastAsia="宋体"/>
                <w:b w:val="0"/>
                <w:sz w:val="20"/>
              </w:rPr>
              <w:t>大面积连续空置</w:t>
            </w:r>
          </w:p>
        </w:tc>
        <w:tc>
          <w:tcPr>
            <w:tcW w:type="dxa" w:w="2551"/>
          </w:tcPr>
          <w:p>
            <w:r/>
            <w:r>
              <w:rPr>
                <w:rFonts w:ascii="宋体" w:hAnsi="宋体" w:eastAsia="宋体"/>
                <w:b w:val="0"/>
                <w:sz w:val="20"/>
              </w:rPr>
              <w:t>1000-3000㎡</w:t>
            </w:r>
          </w:p>
        </w:tc>
        <w:tc>
          <w:tcPr>
            <w:tcW w:type="dxa" w:w="4819"/>
          </w:tcPr>
          <w:p>
            <w:r/>
            <w:r>
              <w:rPr>
                <w:rFonts w:ascii="宋体" w:hAnsi="宋体" w:eastAsia="宋体"/>
                <w:b w:val="0"/>
                <w:sz w:val="20"/>
              </w:rPr>
              <w:t>适配总部、研发中心</w:t>
            </w:r>
          </w:p>
        </w:tc>
      </w:tr>
      <w:tr>
        <w:tc>
          <w:tcPr>
            <w:tcW w:type="dxa" w:w="1701"/>
          </w:tcPr>
          <w:p>
            <w:r/>
            <w:r>
              <w:rPr>
                <w:rFonts w:ascii="宋体" w:hAnsi="宋体" w:eastAsia="宋体"/>
                <w:b w:val="0"/>
                <w:sz w:val="20"/>
              </w:rPr>
              <w:t>整层空置</w:t>
            </w:r>
          </w:p>
        </w:tc>
        <w:tc>
          <w:tcPr>
            <w:tcW w:type="dxa" w:w="2551"/>
          </w:tcPr>
          <w:p>
            <w:r/>
            <w:r>
              <w:rPr>
                <w:rFonts w:ascii="宋体" w:hAnsi="宋体" w:eastAsia="宋体"/>
                <w:b w:val="0"/>
                <w:sz w:val="20"/>
              </w:rPr>
              <w:t>单层连续可用</w:t>
            </w:r>
          </w:p>
        </w:tc>
        <w:tc>
          <w:tcPr>
            <w:tcW w:type="dxa" w:w="4819"/>
          </w:tcPr>
          <w:p>
            <w:r/>
            <w:r>
              <w:rPr>
                <w:rFonts w:ascii="宋体" w:hAnsi="宋体" w:eastAsia="宋体"/>
                <w:b w:val="0"/>
                <w:sz w:val="20"/>
              </w:rPr>
              <w:t>整层招商溢价潜力</w:t>
            </w:r>
          </w:p>
        </w:tc>
      </w:tr>
      <w:tr>
        <w:tc>
          <w:tcPr>
            <w:tcW w:type="dxa" w:w="1701"/>
          </w:tcPr>
          <w:p>
            <w:r/>
            <w:r>
              <w:rPr>
                <w:rFonts w:ascii="宋体" w:hAnsi="宋体" w:eastAsia="宋体"/>
                <w:b w:val="0"/>
                <w:sz w:val="20"/>
              </w:rPr>
              <w:t>多层连续空置</w:t>
            </w:r>
          </w:p>
        </w:tc>
        <w:tc>
          <w:tcPr>
            <w:tcW w:type="dxa" w:w="2551"/>
          </w:tcPr>
          <w:p>
            <w:r/>
            <w:r>
              <w:rPr>
                <w:rFonts w:ascii="宋体" w:hAnsi="宋体" w:eastAsia="宋体"/>
                <w:b w:val="0"/>
                <w:sz w:val="20"/>
              </w:rPr>
              <w:t>≥2层</w:t>
            </w:r>
          </w:p>
        </w:tc>
        <w:tc>
          <w:tcPr>
            <w:tcW w:type="dxa" w:w="4819"/>
          </w:tcPr>
          <w:p>
            <w:r/>
            <w:r>
              <w:rPr>
                <w:rFonts w:ascii="宋体" w:hAnsi="宋体" w:eastAsia="宋体"/>
                <w:b w:val="0"/>
                <w:sz w:val="20"/>
              </w:rPr>
              <w:t>适配总部、产业基地</w:t>
            </w:r>
          </w:p>
        </w:tc>
      </w:tr>
      <w:tr>
        <w:tc>
          <w:tcPr>
            <w:tcW w:type="dxa" w:w="1701"/>
          </w:tcPr>
          <w:p>
            <w:r/>
            <w:r>
              <w:rPr>
                <w:rFonts w:ascii="宋体" w:hAnsi="宋体" w:eastAsia="宋体"/>
                <w:b w:val="0"/>
                <w:sz w:val="20"/>
              </w:rPr>
              <w:t>整栋待招商</w:t>
            </w:r>
          </w:p>
        </w:tc>
        <w:tc>
          <w:tcPr>
            <w:tcW w:type="dxa" w:w="2551"/>
          </w:tcPr>
          <w:p>
            <w:r/>
            <w:r>
              <w:rPr>
                <w:rFonts w:ascii="宋体" w:hAnsi="宋体" w:eastAsia="宋体"/>
                <w:b w:val="0"/>
                <w:sz w:val="20"/>
              </w:rPr>
              <w:t>全楼可整体租赁/合作</w:t>
            </w:r>
          </w:p>
        </w:tc>
        <w:tc>
          <w:tcPr>
            <w:tcW w:type="dxa" w:w="4819"/>
          </w:tcPr>
          <w:p>
            <w:r/>
            <w:r>
              <w:rPr>
                <w:rFonts w:ascii="宋体" w:hAnsi="宋体" w:eastAsia="宋体"/>
                <w:b w:val="0"/>
                <w:sz w:val="20"/>
              </w:rPr>
              <w:t>适合产业主题改造、联合运营</w:t>
            </w:r>
          </w:p>
        </w:tc>
      </w:tr>
      <w:tr>
        <w:tc>
          <w:tcPr>
            <w:tcW w:type="dxa" w:w="1701"/>
          </w:tcPr>
          <w:p>
            <w:r/>
            <w:r>
              <w:rPr>
                <w:rFonts w:ascii="宋体" w:hAnsi="宋体" w:eastAsia="宋体"/>
                <w:b w:val="0"/>
                <w:sz w:val="20"/>
              </w:rPr>
              <w:t>长期空置</w:t>
            </w:r>
          </w:p>
        </w:tc>
        <w:tc>
          <w:tcPr>
            <w:tcW w:type="dxa" w:w="2551"/>
          </w:tcPr>
          <w:p>
            <w:r/>
            <w:r>
              <w:rPr>
                <w:rFonts w:ascii="宋体" w:hAnsi="宋体" w:eastAsia="宋体"/>
                <w:b w:val="0"/>
                <w:sz w:val="20"/>
              </w:rPr>
              <w:t>≥12个月未去化</w:t>
            </w:r>
          </w:p>
        </w:tc>
        <w:tc>
          <w:tcPr>
            <w:tcW w:type="dxa" w:w="4819"/>
          </w:tcPr>
          <w:p>
            <w:r/>
            <w:r>
              <w:rPr>
                <w:rFonts w:ascii="宋体" w:hAnsi="宋体" w:eastAsia="宋体"/>
                <w:b w:val="0"/>
                <w:sz w:val="20"/>
              </w:rPr>
              <w:t>需重新定位或改造</w:t>
            </w:r>
          </w:p>
        </w:tc>
      </w:tr>
      <w:tr>
        <w:tc>
          <w:tcPr>
            <w:tcW w:type="dxa" w:w="1701"/>
          </w:tcPr>
          <w:p>
            <w:r/>
            <w:r>
              <w:rPr>
                <w:rFonts w:ascii="宋体" w:hAnsi="宋体" w:eastAsia="宋体"/>
                <w:b w:val="0"/>
                <w:sz w:val="20"/>
              </w:rPr>
              <w:t>新增空置</w:t>
            </w:r>
          </w:p>
        </w:tc>
        <w:tc>
          <w:tcPr>
            <w:tcW w:type="dxa" w:w="2551"/>
          </w:tcPr>
          <w:p>
            <w:r/>
            <w:r>
              <w:rPr>
                <w:rFonts w:ascii="宋体" w:hAnsi="宋体" w:eastAsia="宋体"/>
                <w:b w:val="0"/>
                <w:sz w:val="20"/>
              </w:rPr>
              <w:t>近3个月新增</w:t>
            </w:r>
          </w:p>
        </w:tc>
        <w:tc>
          <w:tcPr>
            <w:tcW w:type="dxa" w:w="4819"/>
          </w:tcPr>
          <w:p>
            <w:r/>
            <w:r>
              <w:rPr>
                <w:rFonts w:ascii="宋体" w:hAnsi="宋体" w:eastAsia="宋体"/>
                <w:b w:val="0"/>
                <w:sz w:val="20"/>
              </w:rPr>
              <w:t>短期波动信号</w:t>
            </w:r>
          </w:p>
        </w:tc>
      </w:tr>
    </w:tbl>
    <w:p>
      <w:pPr>
        <w:spacing w:after="120"/>
      </w:pPr>
    </w:p>
    <w:p>
      <w:pPr>
        <w:spacing w:before="240" w:after="120"/>
      </w:pPr>
      <w:r>
        <w:rPr>
          <w:rFonts w:ascii="黑体" w:hAnsi="黑体" w:eastAsia="黑体"/>
          <w:b/>
          <w:color w:val="2F5597"/>
          <w:sz w:val="28"/>
        </w:rPr>
        <w:t>3.5 企业综合承租成本分析</w:t>
      </w:r>
    </w:p>
    <w:p>
      <w:pPr>
        <w:spacing w:after="80" w:line="360" w:lineRule="auto"/>
        <w:ind w:firstLine="440"/>
      </w:pPr>
      <w:r>
        <w:rPr>
          <w:rFonts w:ascii="宋体" w:hAnsi="宋体" w:eastAsia="宋体"/>
          <w:b w:val="0"/>
          <w:sz w:val="22"/>
        </w:rPr>
        <w:t>建议建立综合成本模型：</w:t>
      </w:r>
    </w:p>
    <w:p>
      <w:pPr>
        <w:spacing w:after="80" w:line="360" w:lineRule="auto"/>
      </w:pPr>
      <w:r>
        <w:rPr>
          <w:rFonts w:ascii="宋体" w:hAnsi="宋体" w:eastAsia="宋体"/>
          <w:b w:val="0"/>
          <w:sz w:val="22"/>
        </w:rPr>
        <w:t>综合承租成本 = 租金 + 物业费 + 停车费 + 装修摊销 + 搬迁成本 + 通勤成本 − 政策补贴</w:t>
      </w:r>
    </w:p>
    <w:p>
      <w:pPr>
        <w:pStyle w:val="ListBullet"/>
        <w:spacing w:line="324" w:lineRule="auto"/>
        <w:ind w:left="454"/>
      </w:pPr>
      <w:r/>
      <w:r>
        <w:rPr>
          <w:rFonts w:ascii="宋体" w:hAnsi="宋体" w:eastAsia="宋体"/>
          <w:b w:val="0"/>
          <w:sz w:val="22"/>
        </w:rPr>
        <w:t>名义租金与实际成本的差异；</w:t>
      </w:r>
    </w:p>
    <w:p>
      <w:pPr>
        <w:pStyle w:val="ListBullet"/>
        <w:spacing w:line="324" w:lineRule="auto"/>
        <w:ind w:left="454"/>
      </w:pPr>
      <w:r/>
      <w:r>
        <w:rPr>
          <w:rFonts w:ascii="宋体" w:hAnsi="宋体" w:eastAsia="宋体"/>
          <w:b w:val="0"/>
          <w:sz w:val="22"/>
        </w:rPr>
        <w:t>不同区域企业综合承租成本比较；</w:t>
      </w:r>
    </w:p>
    <w:p>
      <w:pPr>
        <w:pStyle w:val="ListBullet"/>
        <w:spacing w:line="324" w:lineRule="auto"/>
        <w:ind w:left="454"/>
      </w:pPr>
      <w:r/>
      <w:r>
        <w:rPr>
          <w:rFonts w:ascii="宋体" w:hAnsi="宋体" w:eastAsia="宋体"/>
          <w:b w:val="0"/>
          <w:sz w:val="22"/>
        </w:rPr>
        <w:t>写字楼与产业园区成本差异；</w:t>
      </w:r>
    </w:p>
    <w:p>
      <w:pPr>
        <w:pStyle w:val="ListBullet"/>
        <w:spacing w:line="324" w:lineRule="auto"/>
        <w:ind w:left="454"/>
      </w:pPr>
      <w:r/>
      <w:r>
        <w:rPr>
          <w:rFonts w:ascii="宋体" w:hAnsi="宋体" w:eastAsia="宋体"/>
          <w:b w:val="0"/>
          <w:sz w:val="22"/>
        </w:rPr>
        <w:t>政策补贴对企业选址的影响；</w:t>
      </w:r>
    </w:p>
    <w:p>
      <w:pPr>
        <w:pStyle w:val="ListBullet"/>
        <w:spacing w:line="324" w:lineRule="auto"/>
        <w:ind w:left="454"/>
      </w:pPr>
      <w:r/>
      <w:r>
        <w:rPr>
          <w:rFonts w:ascii="宋体" w:hAnsi="宋体" w:eastAsia="宋体"/>
          <w:b w:val="0"/>
          <w:sz w:val="22"/>
        </w:rPr>
        <w:t>企业降本型迁移的主要路径。</w:t>
      </w:r>
    </w:p>
    <w:p>
      <w:r>
        <w:br w:type="page"/>
      </w:r>
    </w:p>
    <w:p>
      <w:pPr>
        <w:spacing w:before="360" w:after="200"/>
      </w:pPr>
      <w:r>
        <w:rPr>
          <w:rFonts w:ascii="黑体" w:hAnsi="黑体" w:eastAsia="黑体"/>
          <w:b/>
          <w:color w:val="1F497D"/>
          <w:sz w:val="36"/>
        </w:rPr>
        <w:t>第四章  入驻企业画像与产业需求结构</w:t>
      </w:r>
    </w:p>
    <w:p>
      <w:pPr>
        <w:spacing w:before="240" w:after="120"/>
      </w:pPr>
      <w:r>
        <w:rPr>
          <w:rFonts w:ascii="黑体" w:hAnsi="黑体" w:eastAsia="黑体"/>
          <w:b/>
          <w:color w:val="2F5597"/>
          <w:sz w:val="28"/>
        </w:rPr>
        <w:t>4.1 全市入驻企业总体分布</w:t>
      </w:r>
    </w:p>
    <w:p>
      <w:pPr>
        <w:pStyle w:val="ListBullet"/>
        <w:spacing w:line="324" w:lineRule="auto"/>
        <w:ind w:left="454"/>
      </w:pPr>
      <w:r/>
      <w:r>
        <w:rPr>
          <w:rFonts w:ascii="宋体" w:hAnsi="宋体" w:eastAsia="宋体"/>
          <w:b w:val="0"/>
          <w:sz w:val="22"/>
        </w:rPr>
        <w:t>各区/街镇/楼宇/园区入驻企业数量；</w:t>
      </w:r>
    </w:p>
    <w:p>
      <w:pPr>
        <w:pStyle w:val="ListBullet"/>
        <w:spacing w:line="324" w:lineRule="auto"/>
        <w:ind w:left="454"/>
      </w:pPr>
      <w:r/>
      <w:r>
        <w:rPr>
          <w:rFonts w:ascii="宋体" w:hAnsi="宋体" w:eastAsia="宋体"/>
          <w:b w:val="0"/>
          <w:sz w:val="22"/>
        </w:rPr>
        <w:t>重点楼宇入驻企业密度、产业园区企业密度；</w:t>
      </w:r>
    </w:p>
    <w:p>
      <w:pPr>
        <w:pStyle w:val="ListBullet"/>
        <w:spacing w:line="324" w:lineRule="auto"/>
        <w:ind w:left="454"/>
      </w:pPr>
      <w:r/>
      <w:r>
        <w:rPr>
          <w:rFonts w:ascii="宋体" w:hAnsi="宋体" w:eastAsia="宋体"/>
          <w:b w:val="0"/>
          <w:sz w:val="22"/>
        </w:rPr>
        <w:t>企业行业分布、规模分布、成立年限分布。</w:t>
      </w:r>
    </w:p>
    <w:p>
      <w:pPr>
        <w:spacing w:before="240" w:after="120"/>
      </w:pPr>
      <w:r>
        <w:rPr>
          <w:rFonts w:ascii="黑体" w:hAnsi="黑体" w:eastAsia="黑体"/>
          <w:b/>
          <w:color w:val="2F5597"/>
          <w:sz w:val="28"/>
        </w:rPr>
        <w:t>4.2 行业结构分析（重点观察）</w:t>
      </w:r>
    </w:p>
    <w:p>
      <w:pPr>
        <w:spacing w:after="80" w:line="360" w:lineRule="auto"/>
        <w:ind w:firstLine="440"/>
      </w:pPr>
      <w:r>
        <w:rPr>
          <w:rFonts w:ascii="宋体" w:hAnsi="宋体" w:eastAsia="宋体"/>
          <w:b w:val="0"/>
          <w:sz w:val="22"/>
        </w:rPr>
        <w:t>人工智能、集成电路、生物医药、智能驾驶、新能源汽车、机器人、低空经济、软件信息服务、金融服务、专业服务、文化传媒、数字贸易、跨境电商、高端制造、生产性服务业、总部经济、专精特新企业。</w:t>
      </w:r>
    </w:p>
    <w:p>
      <w:pPr>
        <w:spacing w:before="240" w:after="120"/>
      </w:pPr>
      <w:r>
        <w:rPr>
          <w:rFonts w:ascii="黑体" w:hAnsi="黑体" w:eastAsia="黑体"/>
          <w:b/>
          <w:color w:val="2F5597"/>
          <w:sz w:val="28"/>
        </w:rPr>
        <w:t>4.3 不同行业空间需求特征（示意）</w:t>
      </w:r>
    </w:p>
    <w:tbl>
      <w:tblPr>
        <w:tblStyle w:val="LightGrid-Accent1"/>
        <w:tblW w:type="auto" w:w="0"/>
        <w:jc w:val="center"/>
        <w:tblLook w:firstColumn="1" w:firstRow="1" w:lastColumn="0" w:lastRow="0" w:noHBand="0" w:noVBand="1" w:val="04A0"/>
      </w:tblPr>
      <w:tblGrid>
        <w:gridCol w:w="2323"/>
        <w:gridCol w:w="2323"/>
        <w:gridCol w:w="2323"/>
        <w:gridCol w:w="2323"/>
      </w:tblGrid>
      <w:tr>
        <w:tc>
          <w:tcPr>
            <w:tcW w:type="dxa" w:w="1417"/>
            <w:shd w:fill="1F4E79"/>
          </w:tcPr>
          <w:p>
            <w:pPr>
              <w:jc w:val="center"/>
            </w:pPr>
            <w:r/>
            <w:r>
              <w:rPr>
                <w:rFonts w:ascii="黑体" w:hAnsi="黑体" w:eastAsia="黑体"/>
                <w:b/>
                <w:color w:val="FFFFFF"/>
                <w:sz w:val="20"/>
              </w:rPr>
              <w:t>行业</w:t>
            </w:r>
          </w:p>
        </w:tc>
        <w:tc>
          <w:tcPr>
            <w:tcW w:type="dxa" w:w="1984"/>
            <w:shd w:fill="1F4E79"/>
          </w:tcPr>
          <w:p>
            <w:pPr>
              <w:jc w:val="center"/>
            </w:pPr>
            <w:r/>
            <w:r>
              <w:rPr>
                <w:rFonts w:ascii="黑体" w:hAnsi="黑体" w:eastAsia="黑体"/>
                <w:b/>
                <w:color w:val="FFFFFF"/>
                <w:sz w:val="20"/>
              </w:rPr>
              <w:t>典型空间需求</w:t>
            </w:r>
          </w:p>
        </w:tc>
        <w:tc>
          <w:tcPr>
            <w:tcW w:type="dxa" w:w="2551"/>
            <w:shd w:fill="1F4E79"/>
          </w:tcPr>
          <w:p>
            <w:pPr>
              <w:jc w:val="center"/>
            </w:pPr>
            <w:r/>
            <w:r>
              <w:rPr>
                <w:rFonts w:ascii="黑体" w:hAnsi="黑体" w:eastAsia="黑体"/>
                <w:b/>
                <w:color w:val="FFFFFF"/>
                <w:sz w:val="20"/>
              </w:rPr>
              <w:t>选址偏好</w:t>
            </w:r>
          </w:p>
        </w:tc>
        <w:tc>
          <w:tcPr>
            <w:tcW w:type="dxa" w:w="2835"/>
            <w:shd w:fill="1F4E79"/>
          </w:tcPr>
          <w:p>
            <w:pPr>
              <w:jc w:val="center"/>
            </w:pPr>
            <w:r/>
            <w:r>
              <w:rPr>
                <w:rFonts w:ascii="黑体" w:hAnsi="黑体" w:eastAsia="黑体"/>
                <w:b/>
                <w:color w:val="FFFFFF"/>
                <w:sz w:val="20"/>
              </w:rPr>
              <w:t>关注因素</w:t>
            </w:r>
          </w:p>
        </w:tc>
      </w:tr>
      <w:tr>
        <w:tc>
          <w:tcPr>
            <w:tcW w:type="dxa" w:w="1417"/>
          </w:tcPr>
          <w:p>
            <w:r/>
            <w:r>
              <w:rPr>
                <w:rFonts w:ascii="宋体" w:hAnsi="宋体" w:eastAsia="宋体"/>
                <w:b w:val="0"/>
                <w:sz w:val="20"/>
              </w:rPr>
              <w:t>人工智能</w:t>
            </w:r>
          </w:p>
        </w:tc>
        <w:tc>
          <w:tcPr>
            <w:tcW w:type="dxa" w:w="1984"/>
          </w:tcPr>
          <w:p>
            <w:r/>
            <w:r>
              <w:rPr>
                <w:rFonts w:ascii="宋体" w:hAnsi="宋体" w:eastAsia="宋体"/>
                <w:b w:val="0"/>
                <w:sz w:val="20"/>
              </w:rPr>
              <w:t>中大型办公、研发展示</w:t>
            </w:r>
          </w:p>
        </w:tc>
        <w:tc>
          <w:tcPr>
            <w:tcW w:type="dxa" w:w="2551"/>
          </w:tcPr>
          <w:p>
            <w:r/>
            <w:r>
              <w:rPr>
                <w:rFonts w:ascii="宋体" w:hAnsi="宋体" w:eastAsia="宋体"/>
                <w:b w:val="0"/>
                <w:sz w:val="20"/>
              </w:rPr>
              <w:t>徐汇滨江、杨浦、张江、临港</w:t>
            </w:r>
          </w:p>
        </w:tc>
        <w:tc>
          <w:tcPr>
            <w:tcW w:type="dxa" w:w="2835"/>
          </w:tcPr>
          <w:p>
            <w:r/>
            <w:r>
              <w:rPr>
                <w:rFonts w:ascii="宋体" w:hAnsi="宋体" w:eastAsia="宋体"/>
                <w:b w:val="0"/>
                <w:sz w:val="20"/>
              </w:rPr>
              <w:t>人才、算力、资本、政策</w:t>
            </w:r>
          </w:p>
        </w:tc>
      </w:tr>
      <w:tr>
        <w:tc>
          <w:tcPr>
            <w:tcW w:type="dxa" w:w="1417"/>
          </w:tcPr>
          <w:p>
            <w:r/>
            <w:r>
              <w:rPr>
                <w:rFonts w:ascii="宋体" w:hAnsi="宋体" w:eastAsia="宋体"/>
                <w:b w:val="0"/>
                <w:sz w:val="20"/>
              </w:rPr>
              <w:t>生物医药</w:t>
            </w:r>
          </w:p>
        </w:tc>
        <w:tc>
          <w:tcPr>
            <w:tcW w:type="dxa" w:w="1984"/>
          </w:tcPr>
          <w:p>
            <w:r/>
            <w:r>
              <w:rPr>
                <w:rFonts w:ascii="宋体" w:hAnsi="宋体" w:eastAsia="宋体"/>
                <w:b w:val="0"/>
                <w:sz w:val="20"/>
              </w:rPr>
              <w:t>研发办公 + 实验空间</w:t>
            </w:r>
          </w:p>
        </w:tc>
        <w:tc>
          <w:tcPr>
            <w:tcW w:type="dxa" w:w="2551"/>
          </w:tcPr>
          <w:p>
            <w:r/>
            <w:r>
              <w:rPr>
                <w:rFonts w:ascii="宋体" w:hAnsi="宋体" w:eastAsia="宋体"/>
                <w:b w:val="0"/>
                <w:sz w:val="20"/>
              </w:rPr>
              <w:t>张江、临港、闵行、奉贤</w:t>
            </w:r>
          </w:p>
        </w:tc>
        <w:tc>
          <w:tcPr>
            <w:tcW w:type="dxa" w:w="2835"/>
          </w:tcPr>
          <w:p>
            <w:r/>
            <w:r>
              <w:rPr>
                <w:rFonts w:ascii="宋体" w:hAnsi="宋体" w:eastAsia="宋体"/>
                <w:b w:val="0"/>
                <w:sz w:val="20"/>
              </w:rPr>
              <w:t>实验条件、审批政策、产业链</w:t>
            </w:r>
          </w:p>
        </w:tc>
      </w:tr>
      <w:tr>
        <w:tc>
          <w:tcPr>
            <w:tcW w:type="dxa" w:w="1417"/>
          </w:tcPr>
          <w:p>
            <w:r/>
            <w:r>
              <w:rPr>
                <w:rFonts w:ascii="宋体" w:hAnsi="宋体" w:eastAsia="宋体"/>
                <w:b w:val="0"/>
                <w:sz w:val="20"/>
              </w:rPr>
              <w:t>智能驾驶</w:t>
            </w:r>
          </w:p>
        </w:tc>
        <w:tc>
          <w:tcPr>
            <w:tcW w:type="dxa" w:w="1984"/>
          </w:tcPr>
          <w:p>
            <w:r/>
            <w:r>
              <w:rPr>
                <w:rFonts w:ascii="宋体" w:hAnsi="宋体" w:eastAsia="宋体"/>
                <w:b w:val="0"/>
                <w:sz w:val="20"/>
              </w:rPr>
              <w:t>办公、研发、测试协同</w:t>
            </w:r>
          </w:p>
        </w:tc>
        <w:tc>
          <w:tcPr>
            <w:tcW w:type="dxa" w:w="2551"/>
          </w:tcPr>
          <w:p>
            <w:r/>
            <w:r>
              <w:rPr>
                <w:rFonts w:ascii="宋体" w:hAnsi="宋体" w:eastAsia="宋体"/>
                <w:b w:val="0"/>
                <w:sz w:val="20"/>
              </w:rPr>
              <w:t>嘉定、浦东、杨浦、临港</w:t>
            </w:r>
          </w:p>
        </w:tc>
        <w:tc>
          <w:tcPr>
            <w:tcW w:type="dxa" w:w="2835"/>
          </w:tcPr>
          <w:p>
            <w:r/>
            <w:r>
              <w:rPr>
                <w:rFonts w:ascii="宋体" w:hAnsi="宋体" w:eastAsia="宋体"/>
                <w:b w:val="0"/>
                <w:sz w:val="20"/>
              </w:rPr>
              <w:t>测试场景、整车资源、政策</w:t>
            </w:r>
          </w:p>
        </w:tc>
      </w:tr>
      <w:tr>
        <w:tc>
          <w:tcPr>
            <w:tcW w:type="dxa" w:w="1417"/>
          </w:tcPr>
          <w:p>
            <w:r/>
            <w:r>
              <w:rPr>
                <w:rFonts w:ascii="宋体" w:hAnsi="宋体" w:eastAsia="宋体"/>
                <w:b w:val="0"/>
                <w:sz w:val="20"/>
              </w:rPr>
              <w:t>专业服务</w:t>
            </w:r>
          </w:p>
        </w:tc>
        <w:tc>
          <w:tcPr>
            <w:tcW w:type="dxa" w:w="1984"/>
          </w:tcPr>
          <w:p>
            <w:r/>
            <w:r>
              <w:rPr>
                <w:rFonts w:ascii="宋体" w:hAnsi="宋体" w:eastAsia="宋体"/>
                <w:b w:val="0"/>
                <w:sz w:val="20"/>
              </w:rPr>
              <w:t>中小型高品质办公</w:t>
            </w:r>
          </w:p>
        </w:tc>
        <w:tc>
          <w:tcPr>
            <w:tcW w:type="dxa" w:w="2551"/>
          </w:tcPr>
          <w:p>
            <w:r/>
            <w:r>
              <w:rPr>
                <w:rFonts w:ascii="宋体" w:hAnsi="宋体" w:eastAsia="宋体"/>
                <w:b w:val="0"/>
                <w:sz w:val="20"/>
              </w:rPr>
              <w:t>黄浦、静安、陆家嘴、北外滩</w:t>
            </w:r>
          </w:p>
        </w:tc>
        <w:tc>
          <w:tcPr>
            <w:tcW w:type="dxa" w:w="2835"/>
          </w:tcPr>
          <w:p>
            <w:r/>
            <w:r>
              <w:rPr>
                <w:rFonts w:ascii="宋体" w:hAnsi="宋体" w:eastAsia="宋体"/>
                <w:b w:val="0"/>
                <w:sz w:val="20"/>
              </w:rPr>
              <w:t>客户可达性、品牌形象</w:t>
            </w:r>
          </w:p>
        </w:tc>
      </w:tr>
      <w:tr>
        <w:tc>
          <w:tcPr>
            <w:tcW w:type="dxa" w:w="1417"/>
          </w:tcPr>
          <w:p>
            <w:r/>
            <w:r>
              <w:rPr>
                <w:rFonts w:ascii="宋体" w:hAnsi="宋体" w:eastAsia="宋体"/>
                <w:b w:val="0"/>
                <w:sz w:val="20"/>
              </w:rPr>
              <w:t>高端制造</w:t>
            </w:r>
          </w:p>
        </w:tc>
        <w:tc>
          <w:tcPr>
            <w:tcW w:type="dxa" w:w="1984"/>
          </w:tcPr>
          <w:p>
            <w:r/>
            <w:r>
              <w:rPr>
                <w:rFonts w:ascii="宋体" w:hAnsi="宋体" w:eastAsia="宋体"/>
                <w:b w:val="0"/>
                <w:sz w:val="20"/>
              </w:rPr>
              <w:t>研发办公 + 厂办空间</w:t>
            </w:r>
          </w:p>
        </w:tc>
        <w:tc>
          <w:tcPr>
            <w:tcW w:type="dxa" w:w="2551"/>
          </w:tcPr>
          <w:p>
            <w:r/>
            <w:r>
              <w:rPr>
                <w:rFonts w:ascii="宋体" w:hAnsi="宋体" w:eastAsia="宋体"/>
                <w:b w:val="0"/>
                <w:sz w:val="20"/>
              </w:rPr>
              <w:t>嘉定、松江、临港、宝山</w:t>
            </w:r>
          </w:p>
        </w:tc>
        <w:tc>
          <w:tcPr>
            <w:tcW w:type="dxa" w:w="2835"/>
          </w:tcPr>
          <w:p>
            <w:r/>
            <w:r>
              <w:rPr>
                <w:rFonts w:ascii="宋体" w:hAnsi="宋体" w:eastAsia="宋体"/>
                <w:b w:val="0"/>
                <w:sz w:val="20"/>
              </w:rPr>
              <w:t>成本、物流、产业配套</w:t>
            </w:r>
          </w:p>
        </w:tc>
      </w:tr>
      <w:tr>
        <w:tc>
          <w:tcPr>
            <w:tcW w:type="dxa" w:w="1417"/>
          </w:tcPr>
          <w:p>
            <w:r/>
            <w:r>
              <w:rPr>
                <w:rFonts w:ascii="宋体" w:hAnsi="宋体" w:eastAsia="宋体"/>
                <w:b w:val="0"/>
                <w:sz w:val="20"/>
              </w:rPr>
              <w:t>金融服务</w:t>
            </w:r>
          </w:p>
        </w:tc>
        <w:tc>
          <w:tcPr>
            <w:tcW w:type="dxa" w:w="1984"/>
          </w:tcPr>
          <w:p>
            <w:r/>
            <w:r>
              <w:rPr>
                <w:rFonts w:ascii="宋体" w:hAnsi="宋体" w:eastAsia="宋体"/>
                <w:b w:val="0"/>
                <w:sz w:val="20"/>
              </w:rPr>
              <w:t>中大型办公、品牌展示</w:t>
            </w:r>
          </w:p>
        </w:tc>
        <w:tc>
          <w:tcPr>
            <w:tcW w:type="dxa" w:w="2551"/>
          </w:tcPr>
          <w:p>
            <w:r/>
            <w:r>
              <w:rPr>
                <w:rFonts w:ascii="宋体" w:hAnsi="宋体" w:eastAsia="宋体"/>
                <w:b w:val="0"/>
                <w:sz w:val="20"/>
              </w:rPr>
              <w:t>陆家嘴、外滩、前滩</w:t>
            </w:r>
          </w:p>
        </w:tc>
        <w:tc>
          <w:tcPr>
            <w:tcW w:type="dxa" w:w="2835"/>
          </w:tcPr>
          <w:p>
            <w:r/>
            <w:r>
              <w:rPr>
                <w:rFonts w:ascii="宋体" w:hAnsi="宋体" w:eastAsia="宋体"/>
                <w:b w:val="0"/>
                <w:sz w:val="20"/>
              </w:rPr>
              <w:t>监管、品牌、产业链客户</w:t>
            </w:r>
          </w:p>
        </w:tc>
      </w:tr>
    </w:tbl>
    <w:p>
      <w:pPr>
        <w:spacing w:after="120"/>
      </w:pPr>
    </w:p>
    <w:p>
      <w:pPr>
        <w:spacing w:before="240" w:after="120"/>
      </w:pPr>
      <w:r>
        <w:rPr>
          <w:rFonts w:ascii="黑体" w:hAnsi="黑体" w:eastAsia="黑体"/>
          <w:b/>
          <w:color w:val="2F5597"/>
          <w:sz w:val="28"/>
        </w:rPr>
        <w:t>4.4 企业规模与空间需求</w:t>
      </w:r>
    </w:p>
    <w:p>
      <w:pPr>
        <w:pStyle w:val="ListBullet"/>
        <w:spacing w:line="324" w:lineRule="auto"/>
        <w:ind w:left="454"/>
      </w:pPr>
      <w:r/>
      <w:r>
        <w:rPr>
          <w:rFonts w:ascii="宋体" w:hAnsi="宋体" w:eastAsia="宋体"/>
          <w:b w:val="0"/>
          <w:sz w:val="22"/>
        </w:rPr>
        <w:t>初创企业、成长期企业、中型企业、大型企业；</w:t>
      </w:r>
    </w:p>
    <w:p>
      <w:pPr>
        <w:pStyle w:val="ListBullet"/>
        <w:spacing w:line="324" w:lineRule="auto"/>
        <w:ind w:left="454"/>
      </w:pPr>
      <w:r/>
      <w:r>
        <w:rPr>
          <w:rFonts w:ascii="宋体" w:hAnsi="宋体" w:eastAsia="宋体"/>
          <w:b w:val="0"/>
          <w:sz w:val="22"/>
        </w:rPr>
        <w:t>总部型企业、上市公司、拟上市企业；</w:t>
      </w:r>
    </w:p>
    <w:p>
      <w:pPr>
        <w:pStyle w:val="ListBullet"/>
        <w:spacing w:line="324" w:lineRule="auto"/>
        <w:ind w:left="454"/>
      </w:pPr>
      <w:r/>
      <w:r>
        <w:rPr>
          <w:rFonts w:ascii="宋体" w:hAnsi="宋体" w:eastAsia="宋体"/>
          <w:b w:val="0"/>
          <w:sz w:val="22"/>
        </w:rPr>
        <w:t>专精特新企业、高新技术企业；</w:t>
      </w:r>
    </w:p>
    <w:p>
      <w:pPr>
        <w:pStyle w:val="ListBullet"/>
        <w:spacing w:line="324" w:lineRule="auto"/>
        <w:ind w:left="454"/>
      </w:pPr>
      <w:r/>
      <w:r>
        <w:rPr>
          <w:rFonts w:ascii="宋体" w:hAnsi="宋体" w:eastAsia="宋体"/>
          <w:b w:val="0"/>
          <w:sz w:val="22"/>
        </w:rPr>
        <w:t>外资企业、国央企子公司。</w:t>
      </w:r>
    </w:p>
    <w:p>
      <w:pPr>
        <w:spacing w:after="80" w:line="360" w:lineRule="auto"/>
        <w:ind w:firstLine="440"/>
      </w:pPr>
      <w:r>
        <w:rPr>
          <w:rFonts w:ascii="宋体" w:hAnsi="宋体" w:eastAsia="宋体"/>
          <w:b w:val="0"/>
          <w:sz w:val="22"/>
        </w:rPr>
        <w:t>分析维度：典型面积需求、租期偏好、租金承受能力、区域偏好、扩租潜力、迁址可能性、政策支持需求。</w:t>
      </w:r>
    </w:p>
    <w:p>
      <w:pPr>
        <w:spacing w:before="240" w:after="120"/>
      </w:pPr>
      <w:r>
        <w:rPr>
          <w:rFonts w:ascii="黑体" w:hAnsi="黑体" w:eastAsia="黑体"/>
          <w:b/>
          <w:color w:val="2F5597"/>
          <w:sz w:val="28"/>
        </w:rPr>
        <w:t>4.5 重点企业清单体系</w:t>
      </w:r>
    </w:p>
    <w:p>
      <w:pPr>
        <w:pStyle w:val="ListBullet"/>
        <w:spacing w:line="324" w:lineRule="auto"/>
        <w:ind w:left="454"/>
      </w:pPr>
      <w:r/>
      <w:r>
        <w:rPr>
          <w:rFonts w:ascii="宋体" w:hAnsi="宋体" w:eastAsia="宋体"/>
          <w:b w:val="0"/>
          <w:sz w:val="22"/>
        </w:rPr>
        <w:t>高成长企业清单、近期融资企业清单；</w:t>
      </w:r>
    </w:p>
    <w:p>
      <w:pPr>
        <w:pStyle w:val="ListBullet"/>
        <w:spacing w:line="324" w:lineRule="auto"/>
        <w:ind w:left="454"/>
      </w:pPr>
      <w:r/>
      <w:r>
        <w:rPr>
          <w:rFonts w:ascii="宋体" w:hAnsi="宋体" w:eastAsia="宋体"/>
          <w:b w:val="0"/>
          <w:sz w:val="22"/>
        </w:rPr>
        <w:t>专精特新企业清单、高新技术企业清单；</w:t>
      </w:r>
    </w:p>
    <w:p>
      <w:pPr>
        <w:pStyle w:val="ListBullet"/>
        <w:spacing w:line="324" w:lineRule="auto"/>
        <w:ind w:left="454"/>
      </w:pPr>
      <w:r/>
      <w:r>
        <w:rPr>
          <w:rFonts w:ascii="宋体" w:hAnsi="宋体" w:eastAsia="宋体"/>
          <w:b w:val="0"/>
          <w:sz w:val="22"/>
        </w:rPr>
        <w:t>上市及拟上市企业清单；</w:t>
      </w:r>
    </w:p>
    <w:p>
      <w:pPr>
        <w:pStyle w:val="ListBullet"/>
        <w:spacing w:line="324" w:lineRule="auto"/>
        <w:ind w:left="454"/>
      </w:pPr>
      <w:r/>
      <w:r>
        <w:rPr>
          <w:rFonts w:ascii="宋体" w:hAnsi="宋体" w:eastAsia="宋体"/>
          <w:b w:val="0"/>
          <w:sz w:val="22"/>
        </w:rPr>
        <w:t>迁址可能性企业清单、扩租潜力企业清单、缩租风险企业清单；</w:t>
      </w:r>
    </w:p>
    <w:p>
      <w:pPr>
        <w:pStyle w:val="ListBullet"/>
        <w:spacing w:line="324" w:lineRule="auto"/>
        <w:ind w:left="454"/>
      </w:pPr>
      <w:r/>
      <w:r>
        <w:rPr>
          <w:rFonts w:ascii="宋体" w:hAnsi="宋体" w:eastAsia="宋体"/>
          <w:b w:val="0"/>
          <w:sz w:val="22"/>
        </w:rPr>
        <w:t>跨区迁移企业清单、重点产业链补链企业清单。</w:t>
      </w:r>
    </w:p>
    <w:p>
      <w:r>
        <w:br w:type="page"/>
      </w:r>
    </w:p>
    <w:p>
      <w:pPr>
        <w:spacing w:before="360" w:after="200"/>
      </w:pPr>
      <w:r>
        <w:rPr>
          <w:rFonts w:ascii="黑体" w:hAnsi="黑体" w:eastAsia="黑体"/>
          <w:b/>
          <w:color w:val="1F497D"/>
          <w:sz w:val="36"/>
        </w:rPr>
        <w:t>第五章  企业迁徙与产业流动趋势</w:t>
      </w:r>
    </w:p>
    <w:p>
      <w:pPr>
        <w:spacing w:before="240" w:after="120"/>
      </w:pPr>
      <w:r>
        <w:rPr>
          <w:rFonts w:ascii="黑体" w:hAnsi="黑体" w:eastAsia="黑体"/>
          <w:b/>
          <w:color w:val="2F5597"/>
          <w:sz w:val="28"/>
        </w:rPr>
        <w:t>5.1 企业迁徙总体格局</w:t>
      </w:r>
    </w:p>
    <w:p>
      <w:pPr>
        <w:pStyle w:val="ListBullet"/>
        <w:spacing w:line="324" w:lineRule="auto"/>
        <w:ind w:left="454"/>
      </w:pPr>
      <w:r/>
      <w:r>
        <w:rPr>
          <w:rFonts w:ascii="宋体" w:hAnsi="宋体" w:eastAsia="宋体"/>
          <w:b w:val="0"/>
          <w:sz w:val="22"/>
        </w:rPr>
        <w:t>企业从哪里迁出、迁到哪里、迁徙时间；</w:t>
      </w:r>
    </w:p>
    <w:p>
      <w:pPr>
        <w:pStyle w:val="ListBullet"/>
        <w:spacing w:line="324" w:lineRule="auto"/>
        <w:ind w:left="454"/>
      </w:pPr>
      <w:r/>
      <w:r>
        <w:rPr>
          <w:rFonts w:ascii="宋体" w:hAnsi="宋体" w:eastAsia="宋体"/>
          <w:b w:val="0"/>
          <w:sz w:val="22"/>
        </w:rPr>
        <w:t>所属行业、企业规模；</w:t>
      </w:r>
    </w:p>
    <w:p>
      <w:pPr>
        <w:pStyle w:val="ListBullet"/>
        <w:spacing w:line="324" w:lineRule="auto"/>
        <w:ind w:left="454"/>
      </w:pPr>
      <w:r/>
      <w:r>
        <w:rPr>
          <w:rFonts w:ascii="宋体" w:hAnsi="宋体" w:eastAsia="宋体"/>
          <w:b w:val="0"/>
          <w:sz w:val="22"/>
        </w:rPr>
        <w:t>面积变化、成本变化；</w:t>
      </w:r>
    </w:p>
    <w:p>
      <w:pPr>
        <w:pStyle w:val="ListBullet"/>
        <w:spacing w:line="324" w:lineRule="auto"/>
        <w:ind w:left="454"/>
      </w:pPr>
      <w:r/>
      <w:r>
        <w:rPr>
          <w:rFonts w:ascii="宋体" w:hAnsi="宋体" w:eastAsia="宋体"/>
          <w:b w:val="0"/>
          <w:sz w:val="22"/>
        </w:rPr>
        <w:t>迁徙原因推测（扩张/降本/总部升级/产业集聚/政策导向/被动搬迁/缩租/注册地变更）。</w:t>
      </w:r>
    </w:p>
    <w:p>
      <w:pPr>
        <w:spacing w:before="240" w:after="120"/>
      </w:pPr>
      <w:r>
        <w:rPr>
          <w:rFonts w:ascii="黑体" w:hAnsi="黑体" w:eastAsia="黑体"/>
          <w:b/>
          <w:color w:val="2F5597"/>
          <w:sz w:val="28"/>
        </w:rPr>
        <w:t>5.2 跨行政区迁徙分析</w:t>
      </w:r>
    </w:p>
    <w:p>
      <w:pPr>
        <w:pStyle w:val="ListBullet"/>
        <w:spacing w:line="324" w:lineRule="auto"/>
        <w:ind w:left="454"/>
      </w:pPr>
      <w:r/>
      <w:r>
        <w:rPr>
          <w:rFonts w:ascii="宋体" w:hAnsi="宋体" w:eastAsia="宋体"/>
          <w:b w:val="0"/>
          <w:sz w:val="22"/>
        </w:rPr>
        <w:t>核心区企业向次核心区或郊区迁移；</w:t>
      </w:r>
    </w:p>
    <w:p>
      <w:pPr>
        <w:pStyle w:val="ListBullet"/>
        <w:spacing w:line="324" w:lineRule="auto"/>
        <w:ind w:left="454"/>
      </w:pPr>
      <w:r/>
      <w:r>
        <w:rPr>
          <w:rFonts w:ascii="宋体" w:hAnsi="宋体" w:eastAsia="宋体"/>
          <w:b w:val="0"/>
          <w:sz w:val="22"/>
        </w:rPr>
        <w:t>郊区企业向核心功能区集聚；</w:t>
      </w:r>
    </w:p>
    <w:p>
      <w:pPr>
        <w:pStyle w:val="ListBullet"/>
        <w:spacing w:line="324" w:lineRule="auto"/>
        <w:ind w:left="454"/>
      </w:pPr>
      <w:r/>
      <w:r>
        <w:rPr>
          <w:rFonts w:ascii="宋体" w:hAnsi="宋体" w:eastAsia="宋体"/>
          <w:b w:val="0"/>
          <w:sz w:val="22"/>
        </w:rPr>
        <w:t>成长型企业向产业集聚区迁移；</w:t>
      </w:r>
    </w:p>
    <w:p>
      <w:pPr>
        <w:pStyle w:val="ListBullet"/>
        <w:spacing w:line="324" w:lineRule="auto"/>
        <w:ind w:left="454"/>
      </w:pPr>
      <w:r/>
      <w:r>
        <w:rPr>
          <w:rFonts w:ascii="宋体" w:hAnsi="宋体" w:eastAsia="宋体"/>
          <w:b w:val="0"/>
          <w:sz w:val="22"/>
        </w:rPr>
        <w:t>降本型 / 升级型 / 政策导向型 / 被动搬迁型迁移分别识别。</w:t>
      </w:r>
    </w:p>
    <w:p>
      <w:pPr>
        <w:spacing w:before="240" w:after="120"/>
      </w:pPr>
      <w:r>
        <w:rPr>
          <w:rFonts w:ascii="黑体" w:hAnsi="黑体" w:eastAsia="黑体"/>
          <w:b/>
          <w:color w:val="2F5597"/>
          <w:sz w:val="28"/>
        </w:rPr>
        <w:t>5.3 重点产业迁徙规律</w:t>
      </w:r>
    </w:p>
    <w:tbl>
      <w:tblPr>
        <w:tblStyle w:val="LightGrid-Accent1"/>
        <w:tblW w:type="auto" w:w="0"/>
        <w:jc w:val="center"/>
        <w:tblLook w:firstColumn="1" w:firstRow="1" w:lastColumn="0" w:lastRow="0" w:noHBand="0" w:noVBand="1" w:val="04A0"/>
      </w:tblPr>
      <w:tblGrid>
        <w:gridCol w:w="3097"/>
        <w:gridCol w:w="3097"/>
        <w:gridCol w:w="3097"/>
      </w:tblGrid>
      <w:tr>
        <w:tc>
          <w:tcPr>
            <w:tcW w:type="dxa" w:w="1701"/>
            <w:shd w:fill="1F4E79"/>
          </w:tcPr>
          <w:p>
            <w:pPr>
              <w:jc w:val="center"/>
            </w:pPr>
            <w:r/>
            <w:r>
              <w:rPr>
                <w:rFonts w:ascii="黑体" w:hAnsi="黑体" w:eastAsia="黑体"/>
                <w:b/>
                <w:color w:val="FFFFFF"/>
                <w:sz w:val="20"/>
              </w:rPr>
              <w:t>产业</w:t>
            </w:r>
          </w:p>
        </w:tc>
        <w:tc>
          <w:tcPr>
            <w:tcW w:type="dxa" w:w="3118"/>
            <w:shd w:fill="1F4E79"/>
          </w:tcPr>
          <w:p>
            <w:pPr>
              <w:jc w:val="center"/>
            </w:pPr>
            <w:r/>
            <w:r>
              <w:rPr>
                <w:rFonts w:ascii="黑体" w:hAnsi="黑体" w:eastAsia="黑体"/>
                <w:b/>
                <w:color w:val="FFFFFF"/>
                <w:sz w:val="20"/>
              </w:rPr>
              <w:t>重点流向</w:t>
            </w:r>
          </w:p>
        </w:tc>
        <w:tc>
          <w:tcPr>
            <w:tcW w:type="dxa" w:w="4252"/>
            <w:shd w:fill="1F4E79"/>
          </w:tcPr>
          <w:p>
            <w:pPr>
              <w:jc w:val="center"/>
            </w:pPr>
            <w:r/>
            <w:r>
              <w:rPr>
                <w:rFonts w:ascii="黑体" w:hAnsi="黑体" w:eastAsia="黑体"/>
                <w:b/>
                <w:color w:val="FFFFFF"/>
                <w:sz w:val="20"/>
              </w:rPr>
              <w:t>代表板块</w:t>
            </w:r>
          </w:p>
        </w:tc>
      </w:tr>
      <w:tr>
        <w:tc>
          <w:tcPr>
            <w:tcW w:type="dxa" w:w="1701"/>
          </w:tcPr>
          <w:p>
            <w:r/>
            <w:r>
              <w:rPr>
                <w:rFonts w:ascii="宋体" w:hAnsi="宋体" w:eastAsia="宋体"/>
                <w:b w:val="0"/>
                <w:sz w:val="20"/>
              </w:rPr>
              <w:t>人工智能</w:t>
            </w:r>
          </w:p>
        </w:tc>
        <w:tc>
          <w:tcPr>
            <w:tcW w:type="dxa" w:w="3118"/>
          </w:tcPr>
          <w:p>
            <w:r/>
            <w:r>
              <w:rPr>
                <w:rFonts w:ascii="宋体" w:hAnsi="宋体" w:eastAsia="宋体"/>
                <w:b w:val="0"/>
                <w:sz w:val="20"/>
              </w:rPr>
              <w:t>向滨江与科创带集聚</w:t>
            </w:r>
          </w:p>
        </w:tc>
        <w:tc>
          <w:tcPr>
            <w:tcW w:type="dxa" w:w="4252"/>
          </w:tcPr>
          <w:p>
            <w:r/>
            <w:r>
              <w:rPr>
                <w:rFonts w:ascii="宋体" w:hAnsi="宋体" w:eastAsia="宋体"/>
                <w:b w:val="0"/>
                <w:sz w:val="20"/>
              </w:rPr>
              <w:t>徐汇滨江、杨浦、张江、临港</w:t>
            </w:r>
          </w:p>
        </w:tc>
      </w:tr>
      <w:tr>
        <w:tc>
          <w:tcPr>
            <w:tcW w:type="dxa" w:w="1701"/>
          </w:tcPr>
          <w:p>
            <w:r/>
            <w:r>
              <w:rPr>
                <w:rFonts w:ascii="宋体" w:hAnsi="宋体" w:eastAsia="宋体"/>
                <w:b w:val="0"/>
                <w:sz w:val="20"/>
              </w:rPr>
              <w:t>智能驾驶</w:t>
            </w:r>
          </w:p>
        </w:tc>
        <w:tc>
          <w:tcPr>
            <w:tcW w:type="dxa" w:w="3118"/>
          </w:tcPr>
          <w:p>
            <w:r/>
            <w:r>
              <w:rPr>
                <w:rFonts w:ascii="宋体" w:hAnsi="宋体" w:eastAsia="宋体"/>
                <w:b w:val="0"/>
                <w:sz w:val="20"/>
              </w:rPr>
              <w:t>整车 + 软件协同布局</w:t>
            </w:r>
          </w:p>
        </w:tc>
        <w:tc>
          <w:tcPr>
            <w:tcW w:type="dxa" w:w="4252"/>
          </w:tcPr>
          <w:p>
            <w:r/>
            <w:r>
              <w:rPr>
                <w:rFonts w:ascii="宋体" w:hAnsi="宋体" w:eastAsia="宋体"/>
                <w:b w:val="0"/>
                <w:sz w:val="20"/>
              </w:rPr>
              <w:t>嘉定汽车城、浦东、杨浦、临港</w:t>
            </w:r>
          </w:p>
        </w:tc>
      </w:tr>
      <w:tr>
        <w:tc>
          <w:tcPr>
            <w:tcW w:type="dxa" w:w="1701"/>
          </w:tcPr>
          <w:p>
            <w:r/>
            <w:r>
              <w:rPr>
                <w:rFonts w:ascii="宋体" w:hAnsi="宋体" w:eastAsia="宋体"/>
                <w:b w:val="0"/>
                <w:sz w:val="20"/>
              </w:rPr>
              <w:t>生物医药</w:t>
            </w:r>
          </w:p>
        </w:tc>
        <w:tc>
          <w:tcPr>
            <w:tcW w:type="dxa" w:w="3118"/>
          </w:tcPr>
          <w:p>
            <w:r/>
            <w:r>
              <w:rPr>
                <w:rFonts w:ascii="宋体" w:hAnsi="宋体" w:eastAsia="宋体"/>
                <w:b w:val="0"/>
                <w:sz w:val="20"/>
              </w:rPr>
              <w:t>研发与制造分离布局</w:t>
            </w:r>
          </w:p>
        </w:tc>
        <w:tc>
          <w:tcPr>
            <w:tcW w:type="dxa" w:w="4252"/>
          </w:tcPr>
          <w:p>
            <w:r/>
            <w:r>
              <w:rPr>
                <w:rFonts w:ascii="宋体" w:hAnsi="宋体" w:eastAsia="宋体"/>
                <w:b w:val="0"/>
                <w:sz w:val="20"/>
              </w:rPr>
              <w:t>张江、临港、闵行、奉贤</w:t>
            </w:r>
          </w:p>
        </w:tc>
      </w:tr>
      <w:tr>
        <w:tc>
          <w:tcPr>
            <w:tcW w:type="dxa" w:w="1701"/>
          </w:tcPr>
          <w:p>
            <w:r/>
            <w:r>
              <w:rPr>
                <w:rFonts w:ascii="宋体" w:hAnsi="宋体" w:eastAsia="宋体"/>
                <w:b w:val="0"/>
                <w:sz w:val="20"/>
              </w:rPr>
              <w:t>集成电路</w:t>
            </w:r>
          </w:p>
        </w:tc>
        <w:tc>
          <w:tcPr>
            <w:tcW w:type="dxa" w:w="3118"/>
          </w:tcPr>
          <w:p>
            <w:r/>
            <w:r>
              <w:rPr>
                <w:rFonts w:ascii="宋体" w:hAnsi="宋体" w:eastAsia="宋体"/>
                <w:b w:val="0"/>
                <w:sz w:val="20"/>
              </w:rPr>
              <w:t>向产业链核心区集聚</w:t>
            </w:r>
          </w:p>
        </w:tc>
        <w:tc>
          <w:tcPr>
            <w:tcW w:type="dxa" w:w="4252"/>
          </w:tcPr>
          <w:p>
            <w:r/>
            <w:r>
              <w:rPr>
                <w:rFonts w:ascii="宋体" w:hAnsi="宋体" w:eastAsia="宋体"/>
                <w:b w:val="0"/>
                <w:sz w:val="20"/>
              </w:rPr>
              <w:t>张江、临港、嘉定</w:t>
            </w:r>
          </w:p>
        </w:tc>
      </w:tr>
      <w:tr>
        <w:tc>
          <w:tcPr>
            <w:tcW w:type="dxa" w:w="1701"/>
          </w:tcPr>
          <w:p>
            <w:r/>
            <w:r>
              <w:rPr>
                <w:rFonts w:ascii="宋体" w:hAnsi="宋体" w:eastAsia="宋体"/>
                <w:b w:val="0"/>
                <w:sz w:val="20"/>
              </w:rPr>
              <w:t>机器人/硬科技</w:t>
            </w:r>
          </w:p>
        </w:tc>
        <w:tc>
          <w:tcPr>
            <w:tcW w:type="dxa" w:w="3118"/>
          </w:tcPr>
          <w:p>
            <w:r/>
            <w:r>
              <w:rPr>
                <w:rFonts w:ascii="宋体" w:hAnsi="宋体" w:eastAsia="宋体"/>
                <w:b w:val="0"/>
                <w:sz w:val="20"/>
              </w:rPr>
              <w:t>向成本与产业空间外溢</w:t>
            </w:r>
          </w:p>
        </w:tc>
        <w:tc>
          <w:tcPr>
            <w:tcW w:type="dxa" w:w="4252"/>
          </w:tcPr>
          <w:p>
            <w:r/>
            <w:r>
              <w:rPr>
                <w:rFonts w:ascii="宋体" w:hAnsi="宋体" w:eastAsia="宋体"/>
                <w:b w:val="0"/>
                <w:sz w:val="20"/>
              </w:rPr>
              <w:t>嘉定、松江、宝山、临港</w:t>
            </w:r>
          </w:p>
        </w:tc>
      </w:tr>
      <w:tr>
        <w:tc>
          <w:tcPr>
            <w:tcW w:type="dxa" w:w="1701"/>
          </w:tcPr>
          <w:p>
            <w:r/>
            <w:r>
              <w:rPr>
                <w:rFonts w:ascii="宋体" w:hAnsi="宋体" w:eastAsia="宋体"/>
                <w:b w:val="0"/>
                <w:sz w:val="20"/>
              </w:rPr>
              <w:t>金融/专业服务</w:t>
            </w:r>
          </w:p>
        </w:tc>
        <w:tc>
          <w:tcPr>
            <w:tcW w:type="dxa" w:w="3118"/>
          </w:tcPr>
          <w:p>
            <w:r/>
            <w:r>
              <w:rPr>
                <w:rFonts w:ascii="宋体" w:hAnsi="宋体" w:eastAsia="宋体"/>
                <w:b w:val="0"/>
                <w:sz w:val="20"/>
              </w:rPr>
              <w:t>仍偏好核心区</w:t>
            </w:r>
          </w:p>
        </w:tc>
        <w:tc>
          <w:tcPr>
            <w:tcW w:type="dxa" w:w="4252"/>
          </w:tcPr>
          <w:p>
            <w:r/>
            <w:r>
              <w:rPr>
                <w:rFonts w:ascii="宋体" w:hAnsi="宋体" w:eastAsia="宋体"/>
                <w:b w:val="0"/>
                <w:sz w:val="20"/>
              </w:rPr>
              <w:t>陆家嘴、北外滩、南京西路</w:t>
            </w:r>
          </w:p>
        </w:tc>
      </w:tr>
      <w:tr>
        <w:tc>
          <w:tcPr>
            <w:tcW w:type="dxa" w:w="1701"/>
          </w:tcPr>
          <w:p>
            <w:r/>
            <w:r>
              <w:rPr>
                <w:rFonts w:ascii="宋体" w:hAnsi="宋体" w:eastAsia="宋体"/>
                <w:b w:val="0"/>
                <w:sz w:val="20"/>
              </w:rPr>
              <w:t>文化传媒</w:t>
            </w:r>
          </w:p>
        </w:tc>
        <w:tc>
          <w:tcPr>
            <w:tcW w:type="dxa" w:w="3118"/>
          </w:tcPr>
          <w:p>
            <w:r/>
            <w:r>
              <w:rPr>
                <w:rFonts w:ascii="宋体" w:hAnsi="宋体" w:eastAsia="宋体"/>
                <w:b w:val="0"/>
                <w:sz w:val="20"/>
              </w:rPr>
              <w:t>向滨江与新兴板块迁移</w:t>
            </w:r>
          </w:p>
        </w:tc>
        <w:tc>
          <w:tcPr>
            <w:tcW w:type="dxa" w:w="4252"/>
          </w:tcPr>
          <w:p>
            <w:r/>
            <w:r>
              <w:rPr>
                <w:rFonts w:ascii="宋体" w:hAnsi="宋体" w:eastAsia="宋体"/>
                <w:b w:val="0"/>
                <w:sz w:val="20"/>
              </w:rPr>
              <w:t>徐汇滨江、杨浦滨江</w:t>
            </w:r>
          </w:p>
        </w:tc>
      </w:tr>
      <w:tr>
        <w:tc>
          <w:tcPr>
            <w:tcW w:type="dxa" w:w="1701"/>
          </w:tcPr>
          <w:p>
            <w:r/>
            <w:r>
              <w:rPr>
                <w:rFonts w:ascii="宋体" w:hAnsi="宋体" w:eastAsia="宋体"/>
                <w:b w:val="0"/>
                <w:sz w:val="20"/>
              </w:rPr>
              <w:t>总部型企业</w:t>
            </w:r>
          </w:p>
        </w:tc>
        <w:tc>
          <w:tcPr>
            <w:tcW w:type="dxa" w:w="3118"/>
          </w:tcPr>
          <w:p>
            <w:r/>
            <w:r>
              <w:rPr>
                <w:rFonts w:ascii="宋体" w:hAnsi="宋体" w:eastAsia="宋体"/>
                <w:b w:val="0"/>
                <w:sz w:val="20"/>
              </w:rPr>
              <w:t>向品牌资产/滨江总部带集聚</w:t>
            </w:r>
          </w:p>
        </w:tc>
        <w:tc>
          <w:tcPr>
            <w:tcW w:type="dxa" w:w="4252"/>
          </w:tcPr>
          <w:p>
            <w:r/>
            <w:r>
              <w:rPr>
                <w:rFonts w:ascii="宋体" w:hAnsi="宋体" w:eastAsia="宋体"/>
                <w:b w:val="0"/>
                <w:sz w:val="20"/>
              </w:rPr>
              <w:t>陆家嘴、前滩、北外滩、徐汇滨江</w:t>
            </w:r>
          </w:p>
        </w:tc>
      </w:tr>
    </w:tbl>
    <w:p>
      <w:pPr>
        <w:spacing w:after="120"/>
      </w:pPr>
    </w:p>
    <w:p>
      <w:pPr>
        <w:spacing w:before="240" w:after="120"/>
      </w:pPr>
      <w:r>
        <w:rPr>
          <w:rFonts w:ascii="黑体" w:hAnsi="黑体" w:eastAsia="黑体"/>
          <w:b/>
          <w:color w:val="2F5597"/>
          <w:sz w:val="28"/>
        </w:rPr>
        <w:t>5.4 区域吸引力研判（建议构建“区域吸引力指数”）</w:t>
      </w:r>
    </w:p>
    <w:p>
      <w:pPr>
        <w:pStyle w:val="ListBullet"/>
        <w:spacing w:line="324" w:lineRule="auto"/>
        <w:ind w:left="454"/>
      </w:pPr>
      <w:r/>
      <w:r>
        <w:rPr>
          <w:rFonts w:ascii="宋体" w:hAnsi="宋体" w:eastAsia="宋体"/>
          <w:b w:val="0"/>
          <w:sz w:val="22"/>
        </w:rPr>
        <w:t>企业净流入数量、重点产业企业流入、高成长企业流入；</w:t>
      </w:r>
    </w:p>
    <w:p>
      <w:pPr>
        <w:pStyle w:val="ListBullet"/>
        <w:spacing w:line="324" w:lineRule="auto"/>
        <w:ind w:left="454"/>
      </w:pPr>
      <w:r/>
      <w:r>
        <w:rPr>
          <w:rFonts w:ascii="宋体" w:hAnsi="宋体" w:eastAsia="宋体"/>
          <w:b w:val="0"/>
          <w:sz w:val="22"/>
        </w:rPr>
        <w:t>租金性价比、政策强度；</w:t>
      </w:r>
    </w:p>
    <w:p>
      <w:pPr>
        <w:pStyle w:val="ListBullet"/>
        <w:spacing w:line="324" w:lineRule="auto"/>
        <w:ind w:left="454"/>
      </w:pPr>
      <w:r/>
      <w:r>
        <w:rPr>
          <w:rFonts w:ascii="宋体" w:hAnsi="宋体" w:eastAsia="宋体"/>
          <w:b w:val="0"/>
          <w:sz w:val="22"/>
        </w:rPr>
        <w:t>交通可达性、产业配套成熟度；</w:t>
      </w:r>
    </w:p>
    <w:p>
      <w:pPr>
        <w:pStyle w:val="ListBullet"/>
        <w:spacing w:line="324" w:lineRule="auto"/>
        <w:ind w:left="454"/>
      </w:pPr>
      <w:r/>
      <w:r>
        <w:rPr>
          <w:rFonts w:ascii="宋体" w:hAnsi="宋体" w:eastAsia="宋体"/>
          <w:b w:val="0"/>
          <w:sz w:val="22"/>
        </w:rPr>
        <w:t>空间供给适配度、资本和服务机构集聚度。</w:t>
      </w:r>
    </w:p>
    <w:p>
      <w:pPr>
        <w:spacing w:before="240" w:after="120"/>
      </w:pPr>
      <w:r>
        <w:rPr>
          <w:rFonts w:ascii="黑体" w:hAnsi="黑体" w:eastAsia="黑体"/>
          <w:b/>
          <w:color w:val="2F5597"/>
          <w:sz w:val="28"/>
        </w:rPr>
        <w:t>5.5 企业流失风险区域识别</w:t>
      </w:r>
    </w:p>
    <w:p>
      <w:pPr>
        <w:pStyle w:val="ListBullet"/>
        <w:spacing w:line="324" w:lineRule="auto"/>
        <w:ind w:left="454"/>
      </w:pPr>
      <w:r/>
      <w:r>
        <w:rPr>
          <w:rFonts w:ascii="宋体" w:hAnsi="宋体" w:eastAsia="宋体"/>
          <w:b w:val="0"/>
          <w:sz w:val="22"/>
        </w:rPr>
        <w:t>企业迁出数量较多区域；</w:t>
      </w:r>
    </w:p>
    <w:p>
      <w:pPr>
        <w:pStyle w:val="ListBullet"/>
        <w:spacing w:line="324" w:lineRule="auto"/>
        <w:ind w:left="454"/>
      </w:pPr>
      <w:r/>
      <w:r>
        <w:rPr>
          <w:rFonts w:ascii="宋体" w:hAnsi="宋体" w:eastAsia="宋体"/>
          <w:b w:val="0"/>
          <w:sz w:val="22"/>
        </w:rPr>
        <w:t>空置率持续上升区域；</w:t>
      </w:r>
    </w:p>
    <w:p>
      <w:pPr>
        <w:pStyle w:val="ListBullet"/>
        <w:spacing w:line="324" w:lineRule="auto"/>
        <w:ind w:left="454"/>
      </w:pPr>
      <w:r/>
      <w:r>
        <w:rPr>
          <w:rFonts w:ascii="宋体" w:hAnsi="宋体" w:eastAsia="宋体"/>
          <w:b w:val="0"/>
          <w:sz w:val="22"/>
        </w:rPr>
        <w:t>租金竞争力不足、产业定位模糊、老旧楼宇集中、政策与服务支撑不足的区域。</w:t>
      </w:r>
    </w:p>
    <w:p>
      <w:r>
        <w:br w:type="page"/>
      </w:r>
    </w:p>
    <w:p>
      <w:pPr>
        <w:spacing w:before="360" w:after="200"/>
      </w:pPr>
      <w:r>
        <w:rPr>
          <w:rFonts w:ascii="黑体" w:hAnsi="黑体" w:eastAsia="黑体"/>
          <w:b/>
          <w:color w:val="1F497D"/>
          <w:sz w:val="36"/>
        </w:rPr>
        <w:t>第六章  供需匹配与招商机会分析</w:t>
      </w:r>
    </w:p>
    <w:p>
      <w:pPr>
        <w:spacing w:before="240" w:after="120"/>
      </w:pPr>
      <w:r>
        <w:rPr>
          <w:rFonts w:ascii="黑体" w:hAnsi="黑体" w:eastAsia="黑体"/>
          <w:b/>
          <w:color w:val="2F5597"/>
          <w:sz w:val="28"/>
        </w:rPr>
        <w:t>6.1 载体供给与企业需求匹配</w:t>
      </w:r>
    </w:p>
    <w:p>
      <w:pPr>
        <w:pStyle w:val="ListBullet"/>
        <w:spacing w:line="324" w:lineRule="auto"/>
        <w:ind w:left="454"/>
      </w:pPr>
      <w:r/>
      <w:r>
        <w:rPr>
          <w:rFonts w:ascii="宋体" w:hAnsi="宋体" w:eastAsia="宋体"/>
          <w:b w:val="0"/>
          <w:sz w:val="22"/>
        </w:rPr>
        <w:t>面积匹配；租金匹配；</w:t>
      </w:r>
    </w:p>
    <w:p>
      <w:pPr>
        <w:pStyle w:val="ListBullet"/>
        <w:spacing w:line="324" w:lineRule="auto"/>
        <w:ind w:left="454"/>
      </w:pPr>
      <w:r/>
      <w:r>
        <w:rPr>
          <w:rFonts w:ascii="宋体" w:hAnsi="宋体" w:eastAsia="宋体"/>
          <w:b w:val="0"/>
          <w:sz w:val="22"/>
        </w:rPr>
        <w:t>产业匹配；政策匹配；</w:t>
      </w:r>
    </w:p>
    <w:p>
      <w:pPr>
        <w:pStyle w:val="ListBullet"/>
        <w:spacing w:line="324" w:lineRule="auto"/>
        <w:ind w:left="454"/>
      </w:pPr>
      <w:r/>
      <w:r>
        <w:rPr>
          <w:rFonts w:ascii="宋体" w:hAnsi="宋体" w:eastAsia="宋体"/>
          <w:b w:val="0"/>
          <w:sz w:val="22"/>
        </w:rPr>
        <w:t>区位匹配；空间功能匹配；</w:t>
      </w:r>
    </w:p>
    <w:p>
      <w:pPr>
        <w:pStyle w:val="ListBullet"/>
        <w:spacing w:line="324" w:lineRule="auto"/>
        <w:ind w:left="454"/>
      </w:pPr>
      <w:r/>
      <w:r>
        <w:rPr>
          <w:rFonts w:ascii="宋体" w:hAnsi="宋体" w:eastAsia="宋体"/>
          <w:b w:val="0"/>
          <w:sz w:val="22"/>
        </w:rPr>
        <w:t>企业成长阶段匹配。</w:t>
      </w:r>
    </w:p>
    <w:p>
      <w:pPr>
        <w:spacing w:before="240" w:after="120"/>
      </w:pPr>
      <w:r>
        <w:rPr>
          <w:rFonts w:ascii="黑体" w:hAnsi="黑体" w:eastAsia="黑体"/>
          <w:b/>
          <w:color w:val="2F5597"/>
          <w:sz w:val="28"/>
        </w:rPr>
        <w:t>6.2 重点楼宇竞争力评价模型</w:t>
      </w:r>
    </w:p>
    <w:tbl>
      <w:tblPr>
        <w:tblStyle w:val="LightGrid-Accent1"/>
        <w:tblW w:type="auto" w:w="0"/>
        <w:jc w:val="center"/>
        <w:tblLook w:firstColumn="1" w:firstRow="1" w:lastColumn="0" w:lastRow="0" w:noHBand="0" w:noVBand="1" w:val="04A0"/>
      </w:tblPr>
      <w:tblGrid>
        <w:gridCol w:w="4646"/>
        <w:gridCol w:w="4646"/>
      </w:tblGrid>
      <w:tr>
        <w:tc>
          <w:tcPr>
            <w:tcW w:type="dxa" w:w="1984"/>
            <w:shd w:fill="1F4E79"/>
          </w:tcPr>
          <w:p>
            <w:pPr>
              <w:jc w:val="center"/>
            </w:pPr>
            <w:r/>
            <w:r>
              <w:rPr>
                <w:rFonts w:ascii="黑体" w:hAnsi="黑体" w:eastAsia="黑体"/>
                <w:b/>
                <w:color w:val="FFFFFF"/>
                <w:sz w:val="20"/>
              </w:rPr>
              <w:t>评价维度</w:t>
            </w:r>
          </w:p>
        </w:tc>
        <w:tc>
          <w:tcPr>
            <w:tcW w:type="dxa" w:w="7087"/>
            <w:shd w:fill="1F4E79"/>
          </w:tcPr>
          <w:p>
            <w:pPr>
              <w:jc w:val="center"/>
            </w:pPr>
            <w:r/>
            <w:r>
              <w:rPr>
                <w:rFonts w:ascii="黑体" w:hAnsi="黑体" w:eastAsia="黑体"/>
                <w:b/>
                <w:color w:val="FFFFFF"/>
                <w:sz w:val="20"/>
              </w:rPr>
              <w:t>核心指标</w:t>
            </w:r>
          </w:p>
        </w:tc>
      </w:tr>
      <w:tr>
        <w:tc>
          <w:tcPr>
            <w:tcW w:type="dxa" w:w="1984"/>
          </w:tcPr>
          <w:p>
            <w:r/>
            <w:r>
              <w:rPr>
                <w:rFonts w:ascii="宋体" w:hAnsi="宋体" w:eastAsia="宋体"/>
                <w:b w:val="0"/>
                <w:sz w:val="20"/>
              </w:rPr>
              <w:t>区位交通</w:t>
            </w:r>
          </w:p>
        </w:tc>
        <w:tc>
          <w:tcPr>
            <w:tcW w:type="dxa" w:w="7087"/>
          </w:tcPr>
          <w:p>
            <w:r/>
            <w:r>
              <w:rPr>
                <w:rFonts w:ascii="宋体" w:hAnsi="宋体" w:eastAsia="宋体"/>
                <w:b w:val="0"/>
                <w:sz w:val="20"/>
              </w:rPr>
              <w:t>地铁距离、主干路、机场高铁可达性</w:t>
            </w:r>
          </w:p>
        </w:tc>
      </w:tr>
      <w:tr>
        <w:tc>
          <w:tcPr>
            <w:tcW w:type="dxa" w:w="1984"/>
          </w:tcPr>
          <w:p>
            <w:r/>
            <w:r>
              <w:rPr>
                <w:rFonts w:ascii="宋体" w:hAnsi="宋体" w:eastAsia="宋体"/>
                <w:b w:val="0"/>
                <w:sz w:val="20"/>
              </w:rPr>
              <w:t>资产品质</w:t>
            </w:r>
          </w:p>
        </w:tc>
        <w:tc>
          <w:tcPr>
            <w:tcW w:type="dxa" w:w="7087"/>
          </w:tcPr>
          <w:p>
            <w:r/>
            <w:r>
              <w:rPr>
                <w:rFonts w:ascii="宋体" w:hAnsi="宋体" w:eastAsia="宋体"/>
                <w:b w:val="0"/>
                <w:sz w:val="20"/>
              </w:rPr>
              <w:t>建筑品质、标准层面积、层高、装修、智能化</w:t>
            </w:r>
          </w:p>
        </w:tc>
      </w:tr>
      <w:tr>
        <w:tc>
          <w:tcPr>
            <w:tcW w:type="dxa" w:w="1984"/>
          </w:tcPr>
          <w:p>
            <w:r/>
            <w:r>
              <w:rPr>
                <w:rFonts w:ascii="宋体" w:hAnsi="宋体" w:eastAsia="宋体"/>
                <w:b w:val="0"/>
                <w:sz w:val="20"/>
              </w:rPr>
              <w:t>租金表现</w:t>
            </w:r>
          </w:p>
        </w:tc>
        <w:tc>
          <w:tcPr>
            <w:tcW w:type="dxa" w:w="7087"/>
          </w:tcPr>
          <w:p>
            <w:r/>
            <w:r>
              <w:rPr>
                <w:rFonts w:ascii="宋体" w:hAnsi="宋体" w:eastAsia="宋体"/>
                <w:b w:val="0"/>
                <w:sz w:val="20"/>
              </w:rPr>
              <w:t>报价租金、成交租金、租金弹性</w:t>
            </w:r>
          </w:p>
        </w:tc>
      </w:tr>
      <w:tr>
        <w:tc>
          <w:tcPr>
            <w:tcW w:type="dxa" w:w="1984"/>
          </w:tcPr>
          <w:p>
            <w:r/>
            <w:r>
              <w:rPr>
                <w:rFonts w:ascii="宋体" w:hAnsi="宋体" w:eastAsia="宋体"/>
                <w:b w:val="0"/>
                <w:sz w:val="20"/>
              </w:rPr>
              <w:t>企业结构</w:t>
            </w:r>
          </w:p>
        </w:tc>
        <w:tc>
          <w:tcPr>
            <w:tcW w:type="dxa" w:w="7087"/>
          </w:tcPr>
          <w:p>
            <w:r/>
            <w:r>
              <w:rPr>
                <w:rFonts w:ascii="宋体" w:hAnsi="宋体" w:eastAsia="宋体"/>
                <w:b w:val="0"/>
                <w:sz w:val="20"/>
              </w:rPr>
              <w:t>入驻企业质量、行业集中度、龙头企业数量</w:t>
            </w:r>
          </w:p>
        </w:tc>
      </w:tr>
      <w:tr>
        <w:tc>
          <w:tcPr>
            <w:tcW w:type="dxa" w:w="1984"/>
          </w:tcPr>
          <w:p>
            <w:r/>
            <w:r>
              <w:rPr>
                <w:rFonts w:ascii="宋体" w:hAnsi="宋体" w:eastAsia="宋体"/>
                <w:b w:val="0"/>
                <w:sz w:val="20"/>
              </w:rPr>
              <w:t>运营服务</w:t>
            </w:r>
          </w:p>
        </w:tc>
        <w:tc>
          <w:tcPr>
            <w:tcW w:type="dxa" w:w="7087"/>
          </w:tcPr>
          <w:p>
            <w:r/>
            <w:r>
              <w:rPr>
                <w:rFonts w:ascii="宋体" w:hAnsi="宋体" w:eastAsia="宋体"/>
                <w:b w:val="0"/>
                <w:sz w:val="20"/>
              </w:rPr>
              <w:t>物业服务、企业服务、活动运营</w:t>
            </w:r>
          </w:p>
        </w:tc>
      </w:tr>
      <w:tr>
        <w:tc>
          <w:tcPr>
            <w:tcW w:type="dxa" w:w="1984"/>
          </w:tcPr>
          <w:p>
            <w:r/>
            <w:r>
              <w:rPr>
                <w:rFonts w:ascii="宋体" w:hAnsi="宋体" w:eastAsia="宋体"/>
                <w:b w:val="0"/>
                <w:sz w:val="20"/>
              </w:rPr>
              <w:t>政策资源</w:t>
            </w:r>
          </w:p>
        </w:tc>
        <w:tc>
          <w:tcPr>
            <w:tcW w:type="dxa" w:w="7087"/>
          </w:tcPr>
          <w:p>
            <w:r/>
            <w:r>
              <w:rPr>
                <w:rFonts w:ascii="宋体" w:hAnsi="宋体" w:eastAsia="宋体"/>
                <w:b w:val="0"/>
                <w:sz w:val="20"/>
              </w:rPr>
              <w:t>补贴政策、产业资质、招商主管</w:t>
            </w:r>
          </w:p>
        </w:tc>
      </w:tr>
      <w:tr>
        <w:tc>
          <w:tcPr>
            <w:tcW w:type="dxa" w:w="1984"/>
          </w:tcPr>
          <w:p>
            <w:r/>
            <w:r>
              <w:rPr>
                <w:rFonts w:ascii="宋体" w:hAnsi="宋体" w:eastAsia="宋体"/>
                <w:b w:val="0"/>
                <w:sz w:val="20"/>
              </w:rPr>
              <w:t>去化能力</w:t>
            </w:r>
          </w:p>
        </w:tc>
        <w:tc>
          <w:tcPr>
            <w:tcW w:type="dxa" w:w="7087"/>
          </w:tcPr>
          <w:p>
            <w:r/>
            <w:r>
              <w:rPr>
                <w:rFonts w:ascii="宋体" w:hAnsi="宋体" w:eastAsia="宋体"/>
                <w:b w:val="0"/>
                <w:sz w:val="20"/>
              </w:rPr>
              <w:t>空置率、成交周期、租户稳定性</w:t>
            </w:r>
          </w:p>
        </w:tc>
      </w:tr>
    </w:tbl>
    <w:p>
      <w:pPr>
        <w:spacing w:after="120"/>
      </w:pPr>
    </w:p>
    <w:p>
      <w:pPr>
        <w:spacing w:before="240" w:after="120"/>
      </w:pPr>
      <w:r>
        <w:rPr>
          <w:rFonts w:ascii="黑体" w:hAnsi="黑体" w:eastAsia="黑体"/>
          <w:b/>
          <w:color w:val="2F5597"/>
          <w:sz w:val="28"/>
        </w:rPr>
        <w:t>6.3 产业园区竞争力评价</w:t>
      </w:r>
    </w:p>
    <w:p>
      <w:pPr>
        <w:pStyle w:val="ListBullet"/>
        <w:spacing w:line="324" w:lineRule="auto"/>
        <w:ind w:left="454"/>
      </w:pPr>
      <w:r/>
      <w:r>
        <w:rPr>
          <w:rFonts w:ascii="宋体" w:hAnsi="宋体" w:eastAsia="宋体"/>
          <w:b w:val="0"/>
          <w:sz w:val="22"/>
        </w:rPr>
        <w:t>主导产业清晰度、产业链完整度；</w:t>
      </w:r>
    </w:p>
    <w:p>
      <w:pPr>
        <w:pStyle w:val="ListBullet"/>
        <w:spacing w:line="324" w:lineRule="auto"/>
        <w:ind w:left="454"/>
      </w:pPr>
      <w:r/>
      <w:r>
        <w:rPr>
          <w:rFonts w:ascii="宋体" w:hAnsi="宋体" w:eastAsia="宋体"/>
          <w:b w:val="0"/>
          <w:sz w:val="22"/>
        </w:rPr>
        <w:t>孵化服务能力、公共技术平台；</w:t>
      </w:r>
    </w:p>
    <w:p>
      <w:pPr>
        <w:pStyle w:val="ListBullet"/>
        <w:spacing w:line="324" w:lineRule="auto"/>
        <w:ind w:left="454"/>
      </w:pPr>
      <w:r/>
      <w:r>
        <w:rPr>
          <w:rFonts w:ascii="宋体" w:hAnsi="宋体" w:eastAsia="宋体"/>
          <w:b w:val="0"/>
          <w:sz w:val="22"/>
        </w:rPr>
        <w:t>研发空间适配度、政策兑现能力；</w:t>
      </w:r>
    </w:p>
    <w:p>
      <w:pPr>
        <w:pStyle w:val="ListBullet"/>
        <w:spacing w:line="324" w:lineRule="auto"/>
        <w:ind w:left="454"/>
      </w:pPr>
      <w:r/>
      <w:r>
        <w:rPr>
          <w:rFonts w:ascii="宋体" w:hAnsi="宋体" w:eastAsia="宋体"/>
          <w:b w:val="0"/>
          <w:sz w:val="22"/>
        </w:rPr>
        <w:t>产业基金/资本资源、校企合作、产学研协同。</w:t>
      </w:r>
    </w:p>
    <w:p>
      <w:pPr>
        <w:spacing w:before="240" w:after="120"/>
      </w:pPr>
      <w:r>
        <w:rPr>
          <w:rFonts w:ascii="黑体" w:hAnsi="黑体" w:eastAsia="黑体"/>
          <w:b/>
          <w:color w:val="2F5597"/>
          <w:sz w:val="28"/>
        </w:rPr>
        <w:t>6.4 招商机会识别（三类机会）</w:t>
      </w:r>
    </w:p>
    <w:p>
      <w:pPr>
        <w:spacing w:before="160" w:after="80"/>
      </w:pPr>
      <w:r>
        <w:rPr>
          <w:rFonts w:ascii="黑体" w:hAnsi="黑体" w:eastAsia="黑体"/>
          <w:b/>
          <w:color w:val="4472C4"/>
          <w:sz w:val="24"/>
        </w:rPr>
        <w:t>1) 区域机会</w:t>
      </w:r>
    </w:p>
    <w:p>
      <w:pPr>
        <w:pStyle w:val="ListBullet"/>
        <w:spacing w:line="324" w:lineRule="auto"/>
        <w:ind w:left="454"/>
      </w:pPr>
      <w:r/>
      <w:r>
        <w:rPr>
          <w:rFonts w:ascii="宋体" w:hAnsi="宋体" w:eastAsia="宋体"/>
          <w:b w:val="0"/>
          <w:sz w:val="22"/>
        </w:rPr>
        <w:t>哪些区域适合承接核心区外溢企业；</w:t>
      </w:r>
    </w:p>
    <w:p>
      <w:pPr>
        <w:pStyle w:val="ListBullet"/>
        <w:spacing w:line="324" w:lineRule="auto"/>
        <w:ind w:left="454"/>
      </w:pPr>
      <w:r/>
      <w:r>
        <w:rPr>
          <w:rFonts w:ascii="宋体" w:hAnsi="宋体" w:eastAsia="宋体"/>
          <w:b w:val="0"/>
          <w:sz w:val="22"/>
        </w:rPr>
        <w:t>哪些区域适合发展AI、智能驾驶、生物医药等新兴产业；</w:t>
      </w:r>
    </w:p>
    <w:p>
      <w:pPr>
        <w:pStyle w:val="ListBullet"/>
        <w:spacing w:line="324" w:lineRule="auto"/>
        <w:ind w:left="454"/>
      </w:pPr>
      <w:r/>
      <w:r>
        <w:rPr>
          <w:rFonts w:ascii="宋体" w:hAnsi="宋体" w:eastAsia="宋体"/>
          <w:b w:val="0"/>
          <w:sz w:val="22"/>
        </w:rPr>
        <w:t>哪些区域适合导入总部企业；</w:t>
      </w:r>
    </w:p>
    <w:p>
      <w:pPr>
        <w:pStyle w:val="ListBullet"/>
        <w:spacing w:line="324" w:lineRule="auto"/>
        <w:ind w:left="454"/>
      </w:pPr>
      <w:r/>
      <w:r>
        <w:rPr>
          <w:rFonts w:ascii="宋体" w:hAnsi="宋体" w:eastAsia="宋体"/>
          <w:b w:val="0"/>
          <w:sz w:val="22"/>
        </w:rPr>
        <w:t>哪些区域适合做成本型办公承接。</w:t>
      </w:r>
    </w:p>
    <w:p>
      <w:pPr>
        <w:spacing w:before="160" w:after="80"/>
      </w:pPr>
      <w:r>
        <w:rPr>
          <w:rFonts w:ascii="黑体" w:hAnsi="黑体" w:eastAsia="黑体"/>
          <w:b/>
          <w:color w:val="4472C4"/>
          <w:sz w:val="24"/>
        </w:rPr>
        <w:t>2) 产业机会</w:t>
      </w:r>
    </w:p>
    <w:p>
      <w:pPr>
        <w:pStyle w:val="ListBullet"/>
        <w:spacing w:line="324" w:lineRule="auto"/>
        <w:ind w:left="454"/>
      </w:pPr>
      <w:r/>
      <w:r>
        <w:rPr>
          <w:rFonts w:ascii="宋体" w:hAnsi="宋体" w:eastAsia="宋体"/>
          <w:b w:val="0"/>
          <w:sz w:val="22"/>
        </w:rPr>
        <w:t>AI产业链补链机会；智能驾驶上下游企业导入机会；</w:t>
      </w:r>
    </w:p>
    <w:p>
      <w:pPr>
        <w:pStyle w:val="ListBullet"/>
        <w:spacing w:line="324" w:lineRule="auto"/>
        <w:ind w:left="454"/>
      </w:pPr>
      <w:r/>
      <w:r>
        <w:rPr>
          <w:rFonts w:ascii="宋体" w:hAnsi="宋体" w:eastAsia="宋体"/>
          <w:b w:val="0"/>
          <w:sz w:val="22"/>
        </w:rPr>
        <w:t>生物医药研发服务企业导入机会；生产性服务业导入机会；</w:t>
      </w:r>
    </w:p>
    <w:p>
      <w:pPr>
        <w:pStyle w:val="ListBullet"/>
        <w:spacing w:line="324" w:lineRule="auto"/>
        <w:ind w:left="454"/>
      </w:pPr>
      <w:r/>
      <w:r>
        <w:rPr>
          <w:rFonts w:ascii="宋体" w:hAnsi="宋体" w:eastAsia="宋体"/>
          <w:b w:val="0"/>
          <w:sz w:val="22"/>
        </w:rPr>
        <w:t>专精特新企业集聚机会。</w:t>
      </w:r>
    </w:p>
    <w:p>
      <w:pPr>
        <w:spacing w:before="160" w:after="80"/>
      </w:pPr>
      <w:r>
        <w:rPr>
          <w:rFonts w:ascii="黑体" w:hAnsi="黑体" w:eastAsia="黑体"/>
          <w:b/>
          <w:color w:val="4472C4"/>
          <w:sz w:val="24"/>
        </w:rPr>
        <w:t>3) 企业线索机会</w:t>
      </w:r>
    </w:p>
    <w:p>
      <w:pPr>
        <w:pStyle w:val="ListBullet"/>
        <w:spacing w:line="324" w:lineRule="auto"/>
        <w:ind w:left="454"/>
      </w:pPr>
      <w:r/>
      <w:r>
        <w:rPr>
          <w:rFonts w:ascii="宋体" w:hAnsi="宋体" w:eastAsia="宋体"/>
          <w:b w:val="0"/>
          <w:sz w:val="22"/>
        </w:rPr>
        <w:t>近期融资企业、新增招聘明显企业；</w:t>
      </w:r>
    </w:p>
    <w:p>
      <w:pPr>
        <w:pStyle w:val="ListBullet"/>
        <w:spacing w:line="324" w:lineRule="auto"/>
        <w:ind w:left="454"/>
      </w:pPr>
      <w:r/>
      <w:r>
        <w:rPr>
          <w:rFonts w:ascii="宋体" w:hAnsi="宋体" w:eastAsia="宋体"/>
          <w:b w:val="0"/>
          <w:sz w:val="22"/>
        </w:rPr>
        <w:t>注册地址变更企业、扩租可能企业、迁址可能企业；</w:t>
      </w:r>
    </w:p>
    <w:p>
      <w:pPr>
        <w:pStyle w:val="ListBullet"/>
        <w:spacing w:line="324" w:lineRule="auto"/>
        <w:ind w:left="454"/>
      </w:pPr>
      <w:r/>
      <w:r>
        <w:rPr>
          <w:rFonts w:ascii="宋体" w:hAnsi="宋体" w:eastAsia="宋体"/>
          <w:b w:val="0"/>
          <w:sz w:val="22"/>
        </w:rPr>
        <w:t>外溢承接企业、产业链上下游企业。</w:t>
      </w:r>
    </w:p>
    <w:p>
      <w:pPr>
        <w:spacing w:before="240" w:after="120"/>
      </w:pPr>
      <w:r>
        <w:rPr>
          <w:rFonts w:ascii="黑体" w:hAnsi="黑体" w:eastAsia="黑体"/>
          <w:b/>
          <w:color w:val="2F5597"/>
          <w:sz w:val="28"/>
        </w:rPr>
        <w:t>6.5 资产运营建议</w:t>
      </w:r>
    </w:p>
    <w:p>
      <w:pPr>
        <w:pStyle w:val="ListBullet"/>
        <w:spacing w:line="324" w:lineRule="auto"/>
        <w:ind w:left="454"/>
      </w:pPr>
      <w:r/>
      <w:r>
        <w:rPr>
          <w:rFonts w:ascii="宋体" w:hAnsi="宋体" w:eastAsia="宋体"/>
          <w:b w:val="0"/>
          <w:sz w:val="22"/>
        </w:rPr>
        <w:t>租金调整建议、招商产业定位建议；</w:t>
      </w:r>
    </w:p>
    <w:p>
      <w:pPr>
        <w:pStyle w:val="ListBullet"/>
        <w:spacing w:line="324" w:lineRule="auto"/>
        <w:ind w:left="454"/>
      </w:pPr>
      <w:r/>
      <w:r>
        <w:rPr>
          <w:rFonts w:ascii="宋体" w:hAnsi="宋体" w:eastAsia="宋体"/>
          <w:b w:val="0"/>
          <w:sz w:val="22"/>
        </w:rPr>
        <w:t>空间改造建议、企业服务补强建议；</w:t>
      </w:r>
    </w:p>
    <w:p>
      <w:pPr>
        <w:pStyle w:val="ListBullet"/>
        <w:spacing w:line="324" w:lineRule="auto"/>
        <w:ind w:left="454"/>
      </w:pPr>
      <w:r/>
      <w:r>
        <w:rPr>
          <w:rFonts w:ascii="宋体" w:hAnsi="宋体" w:eastAsia="宋体"/>
          <w:b w:val="0"/>
          <w:sz w:val="22"/>
        </w:rPr>
        <w:t>政策资源嫁接建议、运营活动建议；</w:t>
      </w:r>
    </w:p>
    <w:p>
      <w:pPr>
        <w:pStyle w:val="ListBullet"/>
        <w:spacing w:line="324" w:lineRule="auto"/>
        <w:ind w:left="454"/>
      </w:pPr>
      <w:r/>
      <w:r>
        <w:rPr>
          <w:rFonts w:ascii="宋体" w:hAnsi="宋体" w:eastAsia="宋体"/>
          <w:b w:val="0"/>
          <w:sz w:val="22"/>
        </w:rPr>
        <w:t>资产品牌重塑建议、资本化与证券化准备建议。</w:t>
      </w:r>
    </w:p>
    <w:p>
      <w:r>
        <w:br w:type="page"/>
      </w:r>
    </w:p>
    <w:p>
      <w:pPr>
        <w:spacing w:before="360" w:after="200"/>
      </w:pPr>
      <w:r>
        <w:rPr>
          <w:rFonts w:ascii="黑体" w:hAnsi="黑体" w:eastAsia="黑体"/>
          <w:b/>
          <w:color w:val="1F497D"/>
          <w:sz w:val="36"/>
        </w:rPr>
        <w:t>第七章  市场趋势预测</w:t>
      </w:r>
    </w:p>
    <w:p>
      <w:pPr>
        <w:spacing w:before="240" w:after="120"/>
      </w:pPr>
      <w:r>
        <w:rPr>
          <w:rFonts w:ascii="黑体" w:hAnsi="黑体" w:eastAsia="黑体"/>
          <w:b/>
          <w:color w:val="2F5597"/>
          <w:sz w:val="28"/>
        </w:rPr>
        <w:t>7.1 租金趋势预测</w:t>
      </w:r>
    </w:p>
    <w:p>
      <w:pPr>
        <w:pStyle w:val="ListBullet"/>
        <w:spacing w:line="324" w:lineRule="auto"/>
        <w:ind w:left="454"/>
      </w:pPr>
      <w:r/>
      <w:r>
        <w:rPr>
          <w:rFonts w:ascii="宋体" w:hAnsi="宋体" w:eastAsia="宋体"/>
          <w:b w:val="0"/>
          <w:sz w:val="22"/>
        </w:rPr>
        <w:t>核心商务区租金走势、次核心区租金走势；</w:t>
      </w:r>
    </w:p>
    <w:p>
      <w:pPr>
        <w:pStyle w:val="ListBullet"/>
        <w:spacing w:line="324" w:lineRule="auto"/>
        <w:ind w:left="454"/>
      </w:pPr>
      <w:r/>
      <w:r>
        <w:rPr>
          <w:rFonts w:ascii="宋体" w:hAnsi="宋体" w:eastAsia="宋体"/>
          <w:b w:val="0"/>
          <w:sz w:val="22"/>
        </w:rPr>
        <w:t>乙级写字楼、产业园区、新兴板块租金走势；</w:t>
      </w:r>
    </w:p>
    <w:p>
      <w:pPr>
        <w:pStyle w:val="ListBullet"/>
        <w:spacing w:line="324" w:lineRule="auto"/>
        <w:ind w:left="454"/>
      </w:pPr>
      <w:r/>
      <w:r>
        <w:rPr>
          <w:rFonts w:ascii="宋体" w:hAnsi="宋体" w:eastAsia="宋体"/>
          <w:b w:val="0"/>
          <w:sz w:val="22"/>
        </w:rPr>
        <w:t>老旧楼宇租金调整压力。</w:t>
      </w:r>
    </w:p>
    <w:p>
      <w:pPr>
        <w:spacing w:before="240" w:after="120"/>
      </w:pPr>
      <w:r>
        <w:rPr>
          <w:rFonts w:ascii="黑体" w:hAnsi="黑体" w:eastAsia="黑体"/>
          <w:b/>
          <w:color w:val="2F5597"/>
          <w:sz w:val="28"/>
        </w:rPr>
        <w:t>7.2 空置率趋势预测</w:t>
      </w:r>
    </w:p>
    <w:p>
      <w:pPr>
        <w:pStyle w:val="ListBullet"/>
        <w:spacing w:line="324" w:lineRule="auto"/>
        <w:ind w:left="454"/>
      </w:pPr>
      <w:r/>
      <w:r>
        <w:rPr>
          <w:rFonts w:ascii="宋体" w:hAnsi="宋体" w:eastAsia="宋体"/>
          <w:b w:val="0"/>
          <w:sz w:val="22"/>
        </w:rPr>
        <w:t>高空置板块、新增供应压力板块；</w:t>
      </w:r>
    </w:p>
    <w:p>
      <w:pPr>
        <w:pStyle w:val="ListBullet"/>
        <w:spacing w:line="324" w:lineRule="auto"/>
        <w:ind w:left="454"/>
      </w:pPr>
      <w:r/>
      <w:r>
        <w:rPr>
          <w:rFonts w:ascii="宋体" w:hAnsi="宋体" w:eastAsia="宋体"/>
          <w:b w:val="0"/>
          <w:sz w:val="22"/>
        </w:rPr>
        <w:t>去化较快板块、产业需求支撑较强板块；</w:t>
      </w:r>
    </w:p>
    <w:p>
      <w:pPr>
        <w:pStyle w:val="ListBullet"/>
        <w:spacing w:line="324" w:lineRule="auto"/>
        <w:ind w:left="454"/>
      </w:pPr>
      <w:r/>
      <w:r>
        <w:rPr>
          <w:rFonts w:ascii="宋体" w:hAnsi="宋体" w:eastAsia="宋体"/>
          <w:b w:val="0"/>
          <w:sz w:val="22"/>
        </w:rPr>
        <w:t>存量改造压力较大板块。</w:t>
      </w:r>
    </w:p>
    <w:p>
      <w:pPr>
        <w:spacing w:before="240" w:after="120"/>
      </w:pPr>
      <w:r>
        <w:rPr>
          <w:rFonts w:ascii="黑体" w:hAnsi="黑体" w:eastAsia="黑体"/>
          <w:b/>
          <w:color w:val="2F5597"/>
          <w:sz w:val="28"/>
        </w:rPr>
        <w:t>7.3 产业需求趋势</w:t>
      </w:r>
    </w:p>
    <w:p>
      <w:pPr>
        <w:spacing w:after="80" w:line="360" w:lineRule="auto"/>
        <w:ind w:firstLine="440"/>
      </w:pPr>
      <w:r>
        <w:rPr>
          <w:rFonts w:ascii="宋体" w:hAnsi="宋体" w:eastAsia="宋体"/>
          <w:b w:val="0"/>
          <w:sz w:val="22"/>
        </w:rPr>
        <w:t>重点关注：人工智能、智能驾驶、机器人、低空经济、生物医药、集成电路、数字贸易、跨境电商、绿色低碳、科技服务、生产性服务业。</w:t>
      </w:r>
    </w:p>
    <w:p>
      <w:pPr>
        <w:spacing w:before="240" w:after="120"/>
      </w:pPr>
      <w:r>
        <w:rPr>
          <w:rFonts w:ascii="黑体" w:hAnsi="黑体" w:eastAsia="黑体"/>
          <w:b/>
          <w:color w:val="2F5597"/>
          <w:sz w:val="28"/>
        </w:rPr>
        <w:t>7.4 企业空间策略变化</w:t>
      </w:r>
    </w:p>
    <w:p>
      <w:pPr>
        <w:pStyle w:val="ListBullet"/>
        <w:spacing w:line="324" w:lineRule="auto"/>
        <w:ind w:left="454"/>
      </w:pPr>
      <w:r/>
      <w:r>
        <w:rPr>
          <w:rFonts w:ascii="宋体" w:hAnsi="宋体" w:eastAsia="宋体"/>
          <w:b w:val="0"/>
          <w:sz w:val="22"/>
        </w:rPr>
        <w:t>企业倾向更灵活的办公面积；</w:t>
      </w:r>
    </w:p>
    <w:p>
      <w:pPr>
        <w:pStyle w:val="ListBullet"/>
        <w:spacing w:line="324" w:lineRule="auto"/>
        <w:ind w:left="454"/>
      </w:pPr>
      <w:r/>
      <w:r>
        <w:rPr>
          <w:rFonts w:ascii="宋体" w:hAnsi="宋体" w:eastAsia="宋体"/>
          <w:b w:val="0"/>
          <w:sz w:val="22"/>
        </w:rPr>
        <w:t>总部企业重视品牌与资源链接；</w:t>
      </w:r>
    </w:p>
    <w:p>
      <w:pPr>
        <w:pStyle w:val="ListBullet"/>
        <w:spacing w:line="324" w:lineRule="auto"/>
        <w:ind w:left="454"/>
      </w:pPr>
      <w:r/>
      <w:r>
        <w:rPr>
          <w:rFonts w:ascii="宋体" w:hAnsi="宋体" w:eastAsia="宋体"/>
          <w:b w:val="0"/>
          <w:sz w:val="22"/>
        </w:rPr>
        <w:t>成长型企业更关注政策和成本；</w:t>
      </w:r>
    </w:p>
    <w:p>
      <w:pPr>
        <w:pStyle w:val="ListBullet"/>
        <w:spacing w:line="324" w:lineRule="auto"/>
        <w:ind w:left="454"/>
      </w:pPr>
      <w:r/>
      <w:r>
        <w:rPr>
          <w:rFonts w:ascii="宋体" w:hAnsi="宋体" w:eastAsia="宋体"/>
          <w:b w:val="0"/>
          <w:sz w:val="22"/>
        </w:rPr>
        <w:t>硬科技企业更需要复合型产业空间；</w:t>
      </w:r>
    </w:p>
    <w:p>
      <w:pPr>
        <w:pStyle w:val="ListBullet"/>
        <w:spacing w:line="324" w:lineRule="auto"/>
        <w:ind w:left="454"/>
      </w:pPr>
      <w:r/>
      <w:r>
        <w:rPr>
          <w:rFonts w:ascii="宋体" w:hAnsi="宋体" w:eastAsia="宋体"/>
          <w:b w:val="0"/>
          <w:sz w:val="22"/>
        </w:rPr>
        <w:t>部分传统服务业继续缩租或降本迁移；</w:t>
      </w:r>
    </w:p>
    <w:p>
      <w:pPr>
        <w:pStyle w:val="ListBullet"/>
        <w:spacing w:line="324" w:lineRule="auto"/>
        <w:ind w:left="454"/>
      </w:pPr>
      <w:r/>
      <w:r>
        <w:rPr>
          <w:rFonts w:ascii="宋体" w:hAnsi="宋体" w:eastAsia="宋体"/>
          <w:b w:val="0"/>
          <w:sz w:val="22"/>
        </w:rPr>
        <w:t>科创企业对“产业社区+办公+研发+服务”需求增强。</w:t>
      </w:r>
    </w:p>
    <w:p>
      <w:pPr>
        <w:spacing w:before="240" w:after="120"/>
      </w:pPr>
      <w:r>
        <w:rPr>
          <w:rFonts w:ascii="黑体" w:hAnsi="黑体" w:eastAsia="黑体"/>
          <w:b/>
          <w:color w:val="2F5597"/>
          <w:sz w:val="28"/>
        </w:rPr>
        <w:t>7.5 未来市场机会</w:t>
      </w:r>
    </w:p>
    <w:tbl>
      <w:tblPr>
        <w:tblStyle w:val="LightGrid-Accent1"/>
        <w:tblW w:type="auto" w:w="0"/>
        <w:jc w:val="center"/>
        <w:tblLook w:firstColumn="1" w:firstRow="1" w:lastColumn="0" w:lastRow="0" w:noHBand="0" w:noVBand="1" w:val="04A0"/>
      </w:tblPr>
      <w:tblGrid>
        <w:gridCol w:w="4646"/>
        <w:gridCol w:w="4646"/>
      </w:tblGrid>
      <w:tr>
        <w:tc>
          <w:tcPr>
            <w:tcW w:type="dxa" w:w="1984"/>
            <w:shd w:fill="1F4E79"/>
          </w:tcPr>
          <w:p>
            <w:pPr>
              <w:jc w:val="center"/>
            </w:pPr>
            <w:r/>
            <w:r>
              <w:rPr>
                <w:rFonts w:ascii="黑体" w:hAnsi="黑体" w:eastAsia="黑体"/>
                <w:b/>
                <w:color w:val="FFFFFF"/>
                <w:sz w:val="20"/>
              </w:rPr>
              <w:t>机会场域</w:t>
            </w:r>
          </w:p>
        </w:tc>
        <w:tc>
          <w:tcPr>
            <w:tcW w:type="dxa" w:w="7087"/>
            <w:shd w:fill="1F4E79"/>
          </w:tcPr>
          <w:p>
            <w:pPr>
              <w:jc w:val="center"/>
            </w:pPr>
            <w:r/>
            <w:r>
              <w:rPr>
                <w:rFonts w:ascii="黑体" w:hAnsi="黑体" w:eastAsia="黑体"/>
                <w:b/>
                <w:color w:val="FFFFFF"/>
                <w:sz w:val="20"/>
              </w:rPr>
              <w:t>机会方向</w:t>
            </w:r>
          </w:p>
        </w:tc>
      </w:tr>
      <w:tr>
        <w:tc>
          <w:tcPr>
            <w:tcW w:type="dxa" w:w="1984"/>
          </w:tcPr>
          <w:p>
            <w:r/>
            <w:r>
              <w:rPr>
                <w:rFonts w:ascii="宋体" w:hAnsi="宋体" w:eastAsia="宋体"/>
                <w:b w:val="0"/>
                <w:sz w:val="20"/>
              </w:rPr>
              <w:t>核心区</w:t>
            </w:r>
          </w:p>
        </w:tc>
        <w:tc>
          <w:tcPr>
            <w:tcW w:type="dxa" w:w="7087"/>
          </w:tcPr>
          <w:p>
            <w:r/>
            <w:r>
              <w:rPr>
                <w:rFonts w:ascii="宋体" w:hAnsi="宋体" w:eastAsia="宋体"/>
                <w:b w:val="0"/>
                <w:sz w:val="20"/>
              </w:rPr>
              <w:t>总部经济、金融、专业服务、外资机构</w:t>
            </w:r>
          </w:p>
        </w:tc>
      </w:tr>
      <w:tr>
        <w:tc>
          <w:tcPr>
            <w:tcW w:type="dxa" w:w="1984"/>
          </w:tcPr>
          <w:p>
            <w:r/>
            <w:r>
              <w:rPr>
                <w:rFonts w:ascii="宋体" w:hAnsi="宋体" w:eastAsia="宋体"/>
                <w:b w:val="0"/>
                <w:sz w:val="20"/>
              </w:rPr>
              <w:t>滨江区</w:t>
            </w:r>
          </w:p>
        </w:tc>
        <w:tc>
          <w:tcPr>
            <w:tcW w:type="dxa" w:w="7087"/>
          </w:tcPr>
          <w:p>
            <w:r/>
            <w:r>
              <w:rPr>
                <w:rFonts w:ascii="宋体" w:hAnsi="宋体" w:eastAsia="宋体"/>
                <w:b w:val="0"/>
                <w:sz w:val="20"/>
              </w:rPr>
              <w:t>AI、数字经济、总部展示、科技服务</w:t>
            </w:r>
          </w:p>
        </w:tc>
      </w:tr>
      <w:tr>
        <w:tc>
          <w:tcPr>
            <w:tcW w:type="dxa" w:w="1984"/>
          </w:tcPr>
          <w:p>
            <w:r/>
            <w:r>
              <w:rPr>
                <w:rFonts w:ascii="宋体" w:hAnsi="宋体" w:eastAsia="宋体"/>
                <w:b w:val="0"/>
                <w:sz w:val="20"/>
              </w:rPr>
              <w:t>张江/临港</w:t>
            </w:r>
          </w:p>
        </w:tc>
        <w:tc>
          <w:tcPr>
            <w:tcW w:type="dxa" w:w="7087"/>
          </w:tcPr>
          <w:p>
            <w:r/>
            <w:r>
              <w:rPr>
                <w:rFonts w:ascii="宋体" w:hAnsi="宋体" w:eastAsia="宋体"/>
                <w:b w:val="0"/>
                <w:sz w:val="20"/>
              </w:rPr>
              <w:t>硬科技、生物医药、高端制造、智能驾驶</w:t>
            </w:r>
          </w:p>
        </w:tc>
      </w:tr>
      <w:tr>
        <w:tc>
          <w:tcPr>
            <w:tcW w:type="dxa" w:w="1984"/>
          </w:tcPr>
          <w:p>
            <w:r/>
            <w:r>
              <w:rPr>
                <w:rFonts w:ascii="宋体" w:hAnsi="宋体" w:eastAsia="宋体"/>
                <w:b w:val="0"/>
                <w:sz w:val="20"/>
              </w:rPr>
              <w:t>郊区产业空间</w:t>
            </w:r>
          </w:p>
        </w:tc>
        <w:tc>
          <w:tcPr>
            <w:tcW w:type="dxa" w:w="7087"/>
          </w:tcPr>
          <w:p>
            <w:r/>
            <w:r>
              <w:rPr>
                <w:rFonts w:ascii="宋体" w:hAnsi="宋体" w:eastAsia="宋体"/>
                <w:b w:val="0"/>
                <w:sz w:val="20"/>
              </w:rPr>
              <w:t>成本型外溢、研发制造结合、产业链集聚</w:t>
            </w:r>
          </w:p>
        </w:tc>
      </w:tr>
      <w:tr>
        <w:tc>
          <w:tcPr>
            <w:tcW w:type="dxa" w:w="1984"/>
          </w:tcPr>
          <w:p>
            <w:r/>
            <w:r>
              <w:rPr>
                <w:rFonts w:ascii="宋体" w:hAnsi="宋体" w:eastAsia="宋体"/>
                <w:b w:val="0"/>
                <w:sz w:val="20"/>
              </w:rPr>
              <w:t>老旧商办更新</w:t>
            </w:r>
          </w:p>
        </w:tc>
        <w:tc>
          <w:tcPr>
            <w:tcW w:type="dxa" w:w="7087"/>
          </w:tcPr>
          <w:p>
            <w:r/>
            <w:r>
              <w:rPr>
                <w:rFonts w:ascii="宋体" w:hAnsi="宋体" w:eastAsia="宋体"/>
                <w:b w:val="0"/>
                <w:sz w:val="20"/>
              </w:rPr>
              <w:t>主题楼宇、垂直产业楼宇、科创服务空间</w:t>
            </w:r>
          </w:p>
        </w:tc>
      </w:tr>
    </w:tbl>
    <w:p>
      <w:pPr>
        <w:spacing w:after="120"/>
      </w:pPr>
    </w:p>
    <w:p>
      <w:r>
        <w:br w:type="page"/>
      </w:r>
    </w:p>
    <w:p>
      <w:pPr>
        <w:spacing w:before="360" w:after="200"/>
      </w:pPr>
      <w:r>
        <w:rPr>
          <w:rFonts w:ascii="黑体" w:hAnsi="黑体" w:eastAsia="黑体"/>
          <w:b/>
          <w:color w:val="1F497D"/>
          <w:sz w:val="36"/>
        </w:rPr>
        <w:t>第八章  政策建议与市场应用</w:t>
      </w:r>
    </w:p>
    <w:p>
      <w:pPr>
        <w:spacing w:before="240" w:after="120"/>
      </w:pPr>
      <w:r>
        <w:rPr>
          <w:rFonts w:ascii="黑体" w:hAnsi="黑体" w:eastAsia="黑体"/>
          <w:b/>
          <w:color w:val="2F5597"/>
          <w:sz w:val="28"/>
        </w:rPr>
        <w:t>8.1 对政府部门的建议</w:t>
      </w:r>
    </w:p>
    <w:p>
      <w:pPr>
        <w:pStyle w:val="ListBullet"/>
        <w:spacing w:line="324" w:lineRule="auto"/>
        <w:ind w:left="454"/>
      </w:pPr>
      <w:r/>
      <w:r>
        <w:rPr>
          <w:rFonts w:ascii="宋体" w:hAnsi="宋体" w:eastAsia="宋体"/>
          <w:b w:val="0"/>
          <w:sz w:val="22"/>
        </w:rPr>
        <w:t>建立上海全域商办与产业空间动态数据库；</w:t>
      </w:r>
    </w:p>
    <w:p>
      <w:pPr>
        <w:pStyle w:val="ListBullet"/>
        <w:spacing w:line="324" w:lineRule="auto"/>
        <w:ind w:left="454"/>
      </w:pPr>
      <w:r/>
      <w:r>
        <w:rPr>
          <w:rFonts w:ascii="宋体" w:hAnsi="宋体" w:eastAsia="宋体"/>
          <w:b w:val="0"/>
          <w:sz w:val="22"/>
        </w:rPr>
        <w:t>以街道/镇为单位监测楼宇空置和企业迁徙；</w:t>
      </w:r>
    </w:p>
    <w:p>
      <w:pPr>
        <w:pStyle w:val="ListBullet"/>
        <w:spacing w:line="324" w:lineRule="auto"/>
        <w:ind w:left="454"/>
      </w:pPr>
      <w:r/>
      <w:r>
        <w:rPr>
          <w:rFonts w:ascii="宋体" w:hAnsi="宋体" w:eastAsia="宋体"/>
          <w:b w:val="0"/>
          <w:sz w:val="22"/>
        </w:rPr>
        <w:t>将企业迁徙数据纳入产业空间治理体系；</w:t>
      </w:r>
    </w:p>
    <w:p>
      <w:pPr>
        <w:pStyle w:val="ListBullet"/>
        <w:spacing w:line="324" w:lineRule="auto"/>
        <w:ind w:left="454"/>
      </w:pPr>
      <w:r/>
      <w:r>
        <w:rPr>
          <w:rFonts w:ascii="宋体" w:hAnsi="宋体" w:eastAsia="宋体"/>
          <w:b w:val="0"/>
          <w:sz w:val="22"/>
        </w:rPr>
        <w:t>对高空置区域实施精准招商和功能更新；</w:t>
      </w:r>
    </w:p>
    <w:p>
      <w:pPr>
        <w:pStyle w:val="ListBullet"/>
        <w:spacing w:line="324" w:lineRule="auto"/>
        <w:ind w:left="454"/>
      </w:pPr>
      <w:r/>
      <w:r>
        <w:rPr>
          <w:rFonts w:ascii="宋体" w:hAnsi="宋体" w:eastAsia="宋体"/>
          <w:b w:val="0"/>
          <w:sz w:val="22"/>
        </w:rPr>
        <w:t>推动楼宇经济、园区经济和城市更新联动；</w:t>
      </w:r>
    </w:p>
    <w:p>
      <w:pPr>
        <w:pStyle w:val="ListBullet"/>
        <w:spacing w:line="324" w:lineRule="auto"/>
        <w:ind w:left="454"/>
      </w:pPr>
      <w:r/>
      <w:r>
        <w:rPr>
          <w:rFonts w:ascii="宋体" w:hAnsi="宋体" w:eastAsia="宋体"/>
          <w:b w:val="0"/>
          <w:sz w:val="22"/>
        </w:rPr>
        <w:t>建立产业空间分类治理机制；</w:t>
      </w:r>
    </w:p>
    <w:p>
      <w:pPr>
        <w:pStyle w:val="ListBullet"/>
        <w:spacing w:line="324" w:lineRule="auto"/>
        <w:ind w:left="454"/>
      </w:pPr>
      <w:r/>
      <w:r>
        <w:rPr>
          <w:rFonts w:ascii="宋体" w:hAnsi="宋体" w:eastAsia="宋体"/>
          <w:b w:val="0"/>
          <w:sz w:val="22"/>
        </w:rPr>
        <w:t>以数据支撑产业政策精准施策。</w:t>
      </w:r>
    </w:p>
    <w:p>
      <w:pPr>
        <w:spacing w:before="240" w:after="120"/>
      </w:pPr>
      <w:r>
        <w:rPr>
          <w:rFonts w:ascii="黑体" w:hAnsi="黑体" w:eastAsia="黑体"/>
          <w:b/>
          <w:color w:val="2F5597"/>
          <w:sz w:val="28"/>
        </w:rPr>
        <w:t>8.2 对园区和楼宇运营方的建议</w:t>
      </w:r>
    </w:p>
    <w:p>
      <w:pPr>
        <w:pStyle w:val="ListBullet"/>
        <w:spacing w:line="324" w:lineRule="auto"/>
        <w:ind w:left="454"/>
      </w:pPr>
      <w:r/>
      <w:r>
        <w:rPr>
          <w:rFonts w:ascii="宋体" w:hAnsi="宋体" w:eastAsia="宋体"/>
          <w:b w:val="0"/>
          <w:sz w:val="22"/>
        </w:rPr>
        <w:t>从“租赁招商”转向“产业招商”；</w:t>
      </w:r>
    </w:p>
    <w:p>
      <w:pPr>
        <w:pStyle w:val="ListBullet"/>
        <w:spacing w:line="324" w:lineRule="auto"/>
        <w:ind w:left="454"/>
      </w:pPr>
      <w:r/>
      <w:r>
        <w:rPr>
          <w:rFonts w:ascii="宋体" w:hAnsi="宋体" w:eastAsia="宋体"/>
          <w:b w:val="0"/>
          <w:sz w:val="22"/>
        </w:rPr>
        <w:t>建立企业画像和招商漏斗；</w:t>
      </w:r>
    </w:p>
    <w:p>
      <w:pPr>
        <w:pStyle w:val="ListBullet"/>
        <w:spacing w:line="324" w:lineRule="auto"/>
        <w:ind w:left="454"/>
      </w:pPr>
      <w:r/>
      <w:r>
        <w:rPr>
          <w:rFonts w:ascii="宋体" w:hAnsi="宋体" w:eastAsia="宋体"/>
          <w:b w:val="0"/>
          <w:sz w:val="22"/>
        </w:rPr>
        <w:t>动态监测竞品租金和空置；</w:t>
      </w:r>
    </w:p>
    <w:p>
      <w:pPr>
        <w:pStyle w:val="ListBullet"/>
        <w:spacing w:line="324" w:lineRule="auto"/>
        <w:ind w:left="454"/>
      </w:pPr>
      <w:r/>
      <w:r>
        <w:rPr>
          <w:rFonts w:ascii="宋体" w:hAnsi="宋体" w:eastAsia="宋体"/>
          <w:b w:val="0"/>
          <w:sz w:val="22"/>
        </w:rPr>
        <w:t>优化租金和免租策略；</w:t>
      </w:r>
    </w:p>
    <w:p>
      <w:pPr>
        <w:pStyle w:val="ListBullet"/>
        <w:spacing w:line="324" w:lineRule="auto"/>
        <w:ind w:left="454"/>
      </w:pPr>
      <w:r/>
      <w:r>
        <w:rPr>
          <w:rFonts w:ascii="宋体" w:hAnsi="宋体" w:eastAsia="宋体"/>
          <w:b w:val="0"/>
          <w:sz w:val="22"/>
        </w:rPr>
        <w:t>引入企业服务、政策服务和资本服务；</w:t>
      </w:r>
    </w:p>
    <w:p>
      <w:pPr>
        <w:pStyle w:val="ListBullet"/>
        <w:spacing w:line="324" w:lineRule="auto"/>
        <w:ind w:left="454"/>
      </w:pPr>
      <w:r/>
      <w:r>
        <w:rPr>
          <w:rFonts w:ascii="宋体" w:hAnsi="宋体" w:eastAsia="宋体"/>
          <w:b w:val="0"/>
          <w:sz w:val="22"/>
        </w:rPr>
        <w:t>强化产业主题包装、对老旧载体进行场景化改造。</w:t>
      </w:r>
    </w:p>
    <w:p>
      <w:pPr>
        <w:spacing w:before="240" w:after="120"/>
      </w:pPr>
      <w:r>
        <w:rPr>
          <w:rFonts w:ascii="黑体" w:hAnsi="黑体" w:eastAsia="黑体"/>
          <w:b/>
          <w:color w:val="2F5597"/>
          <w:sz w:val="28"/>
        </w:rPr>
        <w:t>8.3 对资产持有方的建议</w:t>
      </w:r>
    </w:p>
    <w:p>
      <w:pPr>
        <w:pStyle w:val="ListBullet"/>
        <w:spacing w:line="324" w:lineRule="auto"/>
        <w:ind w:left="454"/>
      </w:pPr>
      <w:r/>
      <w:r>
        <w:rPr>
          <w:rFonts w:ascii="宋体" w:hAnsi="宋体" w:eastAsia="宋体"/>
          <w:b w:val="0"/>
          <w:sz w:val="22"/>
        </w:rPr>
        <w:t>重新评估资产定位、建立竞品对标体系；</w:t>
      </w:r>
    </w:p>
    <w:p>
      <w:pPr>
        <w:pStyle w:val="ListBullet"/>
        <w:spacing w:line="324" w:lineRule="auto"/>
        <w:ind w:left="454"/>
      </w:pPr>
      <w:r/>
      <w:r>
        <w:rPr>
          <w:rFonts w:ascii="宋体" w:hAnsi="宋体" w:eastAsia="宋体"/>
          <w:b w:val="0"/>
          <w:sz w:val="22"/>
        </w:rPr>
        <w:t>关注真实成交租金而非单一挂牌租金；</w:t>
      </w:r>
    </w:p>
    <w:p>
      <w:pPr>
        <w:pStyle w:val="ListBullet"/>
        <w:spacing w:line="324" w:lineRule="auto"/>
        <w:ind w:left="454"/>
      </w:pPr>
      <w:r/>
      <w:r>
        <w:rPr>
          <w:rFonts w:ascii="宋体" w:hAnsi="宋体" w:eastAsia="宋体"/>
          <w:b w:val="0"/>
          <w:sz w:val="22"/>
        </w:rPr>
        <w:t>通过产业主题提升资产溢价；</w:t>
      </w:r>
    </w:p>
    <w:p>
      <w:pPr>
        <w:pStyle w:val="ListBullet"/>
        <w:spacing w:line="324" w:lineRule="auto"/>
        <w:ind w:left="454"/>
      </w:pPr>
      <w:r/>
      <w:r>
        <w:rPr>
          <w:rFonts w:ascii="宋体" w:hAnsi="宋体" w:eastAsia="宋体"/>
          <w:b w:val="0"/>
          <w:sz w:val="22"/>
        </w:rPr>
        <w:t>对高空置资产采取降价、改造、联合运营组合策略；</w:t>
      </w:r>
    </w:p>
    <w:p>
      <w:pPr>
        <w:pStyle w:val="ListBullet"/>
        <w:spacing w:line="324" w:lineRule="auto"/>
        <w:ind w:left="454"/>
      </w:pPr>
      <w:r/>
      <w:r>
        <w:rPr>
          <w:rFonts w:ascii="宋体" w:hAnsi="宋体" w:eastAsia="宋体"/>
          <w:b w:val="0"/>
          <w:sz w:val="22"/>
        </w:rPr>
        <w:t>为资产证券化、REITs或资本运作储备数据基础。</w:t>
      </w:r>
    </w:p>
    <w:p>
      <w:pPr>
        <w:spacing w:before="240" w:after="120"/>
      </w:pPr>
      <w:r>
        <w:rPr>
          <w:rFonts w:ascii="黑体" w:hAnsi="黑体" w:eastAsia="黑体"/>
          <w:b/>
          <w:color w:val="2F5597"/>
          <w:sz w:val="28"/>
        </w:rPr>
        <w:t>8.4 对企业选址方的建议</w:t>
      </w:r>
    </w:p>
    <w:p>
      <w:pPr>
        <w:pStyle w:val="ListBullet"/>
        <w:spacing w:line="324" w:lineRule="auto"/>
        <w:ind w:left="454"/>
      </w:pPr>
      <w:r/>
      <w:r>
        <w:rPr>
          <w:rFonts w:ascii="宋体" w:hAnsi="宋体" w:eastAsia="宋体"/>
          <w:b w:val="0"/>
          <w:sz w:val="22"/>
        </w:rPr>
        <w:t>建立综合承租成本模型；</w:t>
      </w:r>
    </w:p>
    <w:p>
      <w:pPr>
        <w:pStyle w:val="ListBullet"/>
        <w:spacing w:line="324" w:lineRule="auto"/>
        <w:ind w:left="454"/>
      </w:pPr>
      <w:r/>
      <w:r>
        <w:rPr>
          <w:rFonts w:ascii="宋体" w:hAnsi="宋体" w:eastAsia="宋体"/>
          <w:b w:val="0"/>
          <w:sz w:val="22"/>
        </w:rPr>
        <w:t>综合比较租金、政策、交通、产业生态和人才可达性；</w:t>
      </w:r>
    </w:p>
    <w:p>
      <w:pPr>
        <w:pStyle w:val="ListBullet"/>
        <w:spacing w:line="324" w:lineRule="auto"/>
        <w:ind w:left="454"/>
      </w:pPr>
      <w:r/>
      <w:r>
        <w:rPr>
          <w:rFonts w:ascii="宋体" w:hAnsi="宋体" w:eastAsia="宋体"/>
          <w:b w:val="0"/>
          <w:sz w:val="22"/>
        </w:rPr>
        <w:t>根据企业发展阶段选择不同类型空间；</w:t>
      </w:r>
    </w:p>
    <w:p>
      <w:pPr>
        <w:pStyle w:val="ListBullet"/>
        <w:spacing w:line="324" w:lineRule="auto"/>
        <w:ind w:left="454"/>
      </w:pPr>
      <w:r/>
      <w:r>
        <w:rPr>
          <w:rFonts w:ascii="宋体" w:hAnsi="宋体" w:eastAsia="宋体"/>
          <w:b w:val="0"/>
          <w:sz w:val="22"/>
        </w:rPr>
        <w:t>成长型企业关注扩租弹性；总部型企业关注品牌与资源链接；</w:t>
      </w:r>
    </w:p>
    <w:p>
      <w:pPr>
        <w:pStyle w:val="ListBullet"/>
        <w:spacing w:line="324" w:lineRule="auto"/>
        <w:ind w:left="454"/>
      </w:pPr>
      <w:r/>
      <w:r>
        <w:rPr>
          <w:rFonts w:ascii="宋体" w:hAnsi="宋体" w:eastAsia="宋体"/>
          <w:b w:val="0"/>
          <w:sz w:val="22"/>
        </w:rPr>
        <w:t>研发型企业关注空间功能与产业配套。</w:t>
      </w:r>
    </w:p>
    <w:p>
      <w:r>
        <w:br w:type="page"/>
      </w:r>
    </w:p>
    <w:p>
      <w:pPr>
        <w:spacing w:before="360" w:after="200"/>
      </w:pPr>
      <w:r>
        <w:rPr>
          <w:rFonts w:ascii="黑体" w:hAnsi="黑体" w:eastAsia="黑体"/>
          <w:b/>
          <w:color w:val="1F497D"/>
          <w:sz w:val="36"/>
        </w:rPr>
        <w:t>第九章  成果体系与商业化延展</w:t>
      </w:r>
    </w:p>
    <w:p>
      <w:pPr>
        <w:spacing w:after="80" w:line="360" w:lineRule="auto"/>
        <w:ind w:firstLine="440"/>
      </w:pPr>
      <w:r>
        <w:rPr>
          <w:rFonts w:ascii="宋体" w:hAnsi="宋体" w:eastAsia="宋体"/>
          <w:b w:val="0"/>
          <w:sz w:val="22"/>
        </w:rPr>
        <w:t>建议将本项目从单份报告升级为长期产品体系：</w:t>
      </w:r>
    </w:p>
    <w:p>
      <w:pPr>
        <w:spacing w:before="160" w:after="80"/>
      </w:pPr>
      <w:r>
        <w:rPr>
          <w:rFonts w:ascii="黑体" w:hAnsi="黑体" w:eastAsia="黑体"/>
          <w:b/>
          <w:color w:val="4472C4"/>
          <w:sz w:val="24"/>
        </w:rPr>
        <w:t>9.1 月度市场监测简报</w:t>
      </w:r>
    </w:p>
    <w:p>
      <w:pPr>
        <w:spacing w:after="80" w:line="360" w:lineRule="auto"/>
        <w:ind w:firstLine="440"/>
      </w:pPr>
      <w:r>
        <w:rPr>
          <w:rFonts w:ascii="宋体" w:hAnsi="宋体" w:eastAsia="宋体"/>
          <w:b w:val="0"/>
          <w:sz w:val="22"/>
        </w:rPr>
        <w:t>租金/空置/企业迁徙/热门板块/招商机会/市场预警。</w:t>
      </w:r>
    </w:p>
    <w:p>
      <w:pPr>
        <w:spacing w:before="160" w:after="80"/>
      </w:pPr>
      <w:r>
        <w:rPr>
          <w:rFonts w:ascii="黑体" w:hAnsi="黑体" w:eastAsia="黑体"/>
          <w:b/>
          <w:color w:val="4472C4"/>
          <w:sz w:val="24"/>
        </w:rPr>
        <w:t>9.2 季度深度报告</w:t>
      </w:r>
    </w:p>
    <w:p>
      <w:pPr>
        <w:spacing w:after="80" w:line="360" w:lineRule="auto"/>
        <w:ind w:firstLine="440"/>
      </w:pPr>
      <w:r>
        <w:rPr>
          <w:rFonts w:ascii="宋体" w:hAnsi="宋体" w:eastAsia="宋体"/>
          <w:b w:val="0"/>
          <w:sz w:val="22"/>
        </w:rPr>
        <w:t>区域市场分析、产业需求分析、企业迁徙分析、资产运营建议、趋势预测。</w:t>
      </w:r>
    </w:p>
    <w:p>
      <w:pPr>
        <w:spacing w:before="160" w:after="80"/>
      </w:pPr>
      <w:r>
        <w:rPr>
          <w:rFonts w:ascii="黑体" w:hAnsi="黑体" w:eastAsia="黑体"/>
          <w:b/>
          <w:color w:val="4472C4"/>
          <w:sz w:val="24"/>
        </w:rPr>
        <w:t>9.3 年度白皮书</w:t>
      </w:r>
    </w:p>
    <w:p>
      <w:pPr>
        <w:spacing w:after="80" w:line="360" w:lineRule="auto"/>
        <w:ind w:firstLine="440"/>
      </w:pPr>
      <w:r>
        <w:rPr>
          <w:rFonts w:ascii="宋体" w:hAnsi="宋体" w:eastAsia="宋体"/>
          <w:b w:val="0"/>
          <w:sz w:val="22"/>
        </w:rPr>
        <w:t>全域格局 + 年度租金空置 + 年度迁徙趋势 + 年度产业演化 + 招商机会 + 政策建议。</w:t>
      </w:r>
    </w:p>
    <w:p>
      <w:pPr>
        <w:spacing w:before="160" w:after="80"/>
      </w:pPr>
      <w:r>
        <w:rPr>
          <w:rFonts w:ascii="黑体" w:hAnsi="黑体" w:eastAsia="黑体"/>
          <w:b/>
          <w:color w:val="4472C4"/>
          <w:sz w:val="24"/>
        </w:rPr>
        <w:t>9.4 区域专项报告</w:t>
      </w:r>
    </w:p>
    <w:p>
      <w:pPr>
        <w:pStyle w:val="ListBullet"/>
        <w:spacing w:line="324" w:lineRule="auto"/>
        <w:ind w:left="454"/>
      </w:pPr>
      <w:r/>
      <w:r>
        <w:rPr>
          <w:rFonts w:ascii="宋体" w:hAnsi="宋体" w:eastAsia="宋体"/>
          <w:b w:val="0"/>
          <w:sz w:val="22"/>
        </w:rPr>
        <w:t>《杨浦区商办楼宇与产业园区市场报告》；</w:t>
      </w:r>
    </w:p>
    <w:p>
      <w:pPr>
        <w:pStyle w:val="ListBullet"/>
        <w:spacing w:line="324" w:lineRule="auto"/>
        <w:ind w:left="454"/>
      </w:pPr>
      <w:r/>
      <w:r>
        <w:rPr>
          <w:rFonts w:ascii="宋体" w:hAnsi="宋体" w:eastAsia="宋体"/>
          <w:b w:val="0"/>
          <w:sz w:val="22"/>
        </w:rPr>
        <w:t>《浦东新区产业空间与企业迁徙报告》；</w:t>
      </w:r>
    </w:p>
    <w:p>
      <w:pPr>
        <w:pStyle w:val="ListBullet"/>
        <w:spacing w:line="324" w:lineRule="auto"/>
        <w:ind w:left="454"/>
      </w:pPr>
      <w:r/>
      <w:r>
        <w:rPr>
          <w:rFonts w:ascii="宋体" w:hAnsi="宋体" w:eastAsia="宋体"/>
          <w:b w:val="0"/>
          <w:sz w:val="22"/>
        </w:rPr>
        <w:t>《徐汇滨江AI产业空间研究报告》；</w:t>
      </w:r>
    </w:p>
    <w:p>
      <w:pPr>
        <w:pStyle w:val="ListBullet"/>
        <w:spacing w:line="324" w:lineRule="auto"/>
        <w:ind w:left="454"/>
      </w:pPr>
      <w:r/>
      <w:r>
        <w:rPr>
          <w:rFonts w:ascii="宋体" w:hAnsi="宋体" w:eastAsia="宋体"/>
          <w:b w:val="0"/>
          <w:sz w:val="22"/>
        </w:rPr>
        <w:t>《嘉定智能汽车产业载体研究报告》；</w:t>
      </w:r>
    </w:p>
    <w:p>
      <w:pPr>
        <w:pStyle w:val="ListBullet"/>
        <w:spacing w:line="324" w:lineRule="auto"/>
        <w:ind w:left="454"/>
      </w:pPr>
      <w:r/>
      <w:r>
        <w:rPr>
          <w:rFonts w:ascii="宋体" w:hAnsi="宋体" w:eastAsia="宋体"/>
          <w:b w:val="0"/>
          <w:sz w:val="22"/>
        </w:rPr>
        <w:t>《临港新片区硬科技产业空间研究报告》。</w:t>
      </w:r>
    </w:p>
    <w:p>
      <w:pPr>
        <w:spacing w:before="160" w:after="80"/>
      </w:pPr>
      <w:r>
        <w:rPr>
          <w:rFonts w:ascii="黑体" w:hAnsi="黑体" w:eastAsia="黑体"/>
          <w:b/>
          <w:color w:val="4472C4"/>
          <w:sz w:val="24"/>
        </w:rPr>
        <w:t>9.5 楼宇与园区诊断报告</w:t>
      </w:r>
    </w:p>
    <w:p>
      <w:pPr>
        <w:spacing w:after="80" w:line="360" w:lineRule="auto"/>
        <w:ind w:firstLine="440"/>
      </w:pPr>
      <w:r>
        <w:rPr>
          <w:rFonts w:ascii="宋体" w:hAnsi="宋体" w:eastAsia="宋体"/>
          <w:b w:val="0"/>
          <w:sz w:val="22"/>
        </w:rPr>
        <w:t>面向业主/运营方/国企平台：竞品分析、租金定位、空置诊断、目标企业画像、招商策略、改造与运营提升建议。</w:t>
      </w:r>
    </w:p>
    <w:p>
      <w:pPr>
        <w:spacing w:before="160" w:after="80"/>
      </w:pPr>
      <w:r>
        <w:rPr>
          <w:rFonts w:ascii="黑体" w:hAnsi="黑体" w:eastAsia="黑体"/>
          <w:b/>
          <w:color w:val="4472C4"/>
          <w:sz w:val="24"/>
        </w:rPr>
        <w:t>9.6 企业选址服务产品</w:t>
      </w:r>
    </w:p>
    <w:p>
      <w:pPr>
        <w:spacing w:after="80" w:line="360" w:lineRule="auto"/>
        <w:ind w:firstLine="440"/>
      </w:pPr>
      <w:r>
        <w:rPr>
          <w:rFonts w:ascii="宋体" w:hAnsi="宋体" w:eastAsia="宋体"/>
          <w:b w:val="0"/>
          <w:sz w:val="22"/>
        </w:rPr>
        <w:t>面向企业：区域推荐、楼宇推荐、租金对标、政策匹配、成本测算、产业生态分析。</w:t>
      </w:r>
    </w:p>
    <w:p>
      <w:r>
        <w:br w:type="page"/>
      </w:r>
    </w:p>
    <w:p>
      <w:pPr>
        <w:spacing w:before="360" w:after="200"/>
      </w:pPr>
      <w:r>
        <w:rPr>
          <w:rFonts w:ascii="黑体" w:hAnsi="黑体" w:eastAsia="黑体"/>
          <w:b/>
          <w:color w:val="1F497D"/>
          <w:sz w:val="36"/>
        </w:rPr>
        <w:t>附篇一  数据体系与字段设计（六大数据库）</w:t>
      </w:r>
    </w:p>
    <w:p>
      <w:pPr>
        <w:spacing w:before="240" w:after="120"/>
      </w:pPr>
      <w:r>
        <w:rPr>
          <w:rFonts w:ascii="黑体" w:hAnsi="黑体" w:eastAsia="黑体"/>
          <w:b/>
          <w:color w:val="2F5597"/>
          <w:sz w:val="28"/>
        </w:rPr>
        <w:t>1. 楼宇与园区基础数据库</w:t>
      </w:r>
    </w:p>
    <w:p>
      <w:pPr>
        <w:spacing w:before="160" w:after="80"/>
      </w:pPr>
      <w:r>
        <w:rPr>
          <w:rFonts w:ascii="黑体" w:hAnsi="黑体" w:eastAsia="黑体"/>
          <w:b/>
          <w:color w:val="4472C4"/>
          <w:sz w:val="24"/>
        </w:rPr>
        <w:t>核心字段</w:t>
      </w:r>
    </w:p>
    <w:p>
      <w:pPr>
        <w:spacing w:after="80" w:line="360" w:lineRule="auto"/>
        <w:ind w:firstLine="440"/>
      </w:pPr>
      <w:r>
        <w:rPr>
          <w:rFonts w:ascii="宋体" w:hAnsi="宋体" w:eastAsia="宋体"/>
          <w:b w:val="0"/>
          <w:sz w:val="22"/>
        </w:rPr>
        <w:t>载体名称、物业类型、所属行政区、所属街道/镇、详细地址、经纬度、总建筑面积、可租赁面积、标准层面积、层数、竣工时间、物业等级、产权方、运营方、物业公司、交通条件、地铁距离、停车位数量、配套商业、招商联系人、官方网站或招商页面。</w:t>
      </w:r>
    </w:p>
    <w:p>
      <w:pPr>
        <w:spacing w:before="160" w:after="80"/>
      </w:pPr>
      <w:r>
        <w:rPr>
          <w:rFonts w:ascii="黑体" w:hAnsi="黑体" w:eastAsia="黑体"/>
          <w:b/>
          <w:color w:val="4472C4"/>
          <w:sz w:val="24"/>
        </w:rPr>
        <w:t>数据来源建议</w:t>
      </w:r>
    </w:p>
    <w:p>
      <w:pPr>
        <w:spacing w:after="80" w:line="360" w:lineRule="auto"/>
        <w:ind w:firstLine="440"/>
      </w:pPr>
      <w:r>
        <w:rPr>
          <w:rFonts w:ascii="宋体" w:hAnsi="宋体" w:eastAsia="宋体"/>
          <w:b w:val="0"/>
          <w:sz w:val="22"/>
        </w:rPr>
        <w:t>高德/百度/腾讯地图POI、AOI；各区政府公开园区名录；上海市产业园区名录；楼宇/园区官网与招商页；房地产中介挂牌平台；公开新闻稿；实地调研补充。</w:t>
      </w:r>
    </w:p>
    <w:p>
      <w:pPr>
        <w:spacing w:before="240" w:after="120"/>
      </w:pPr>
      <w:r>
        <w:rPr>
          <w:rFonts w:ascii="黑体" w:hAnsi="黑体" w:eastAsia="黑体"/>
          <w:b/>
          <w:color w:val="2F5597"/>
          <w:sz w:val="28"/>
        </w:rPr>
        <w:t>2. 租金与空置数据库</w:t>
      </w:r>
    </w:p>
    <w:p>
      <w:pPr>
        <w:spacing w:before="160" w:after="80"/>
      </w:pPr>
      <w:r>
        <w:rPr>
          <w:rFonts w:ascii="黑体" w:hAnsi="黑体" w:eastAsia="黑体"/>
          <w:b/>
          <w:color w:val="4472C4"/>
          <w:sz w:val="24"/>
        </w:rPr>
        <w:t>核心字段</w:t>
      </w:r>
    </w:p>
    <w:p>
      <w:pPr>
        <w:spacing w:after="80" w:line="360" w:lineRule="auto"/>
        <w:ind w:firstLine="440"/>
      </w:pPr>
      <w:r>
        <w:rPr>
          <w:rFonts w:ascii="宋体" w:hAnsi="宋体" w:eastAsia="宋体"/>
          <w:b w:val="0"/>
          <w:sz w:val="22"/>
        </w:rPr>
        <w:t>报价租金、成交租金区间、物业费、可租面积、空置面积、空置楼层、空置套数、最小可租面积、最大连续可租面积、装修状态、免租期、付款方式、租期要求、更新时间、信息来源。</w:t>
      </w:r>
    </w:p>
    <w:p>
      <w:pPr>
        <w:spacing w:before="160" w:after="80"/>
      </w:pPr>
      <w:r>
        <w:rPr>
          <w:rFonts w:ascii="黑体" w:hAnsi="黑体" w:eastAsia="黑体"/>
          <w:b/>
          <w:color w:val="4472C4"/>
          <w:sz w:val="24"/>
        </w:rPr>
        <w:t>数据来源建议</w:t>
      </w:r>
    </w:p>
    <w:p>
      <w:pPr>
        <w:spacing w:after="80" w:line="360" w:lineRule="auto"/>
        <w:ind w:firstLine="440"/>
      </w:pPr>
      <w:r>
        <w:rPr>
          <w:rFonts w:ascii="宋体" w:hAnsi="宋体" w:eastAsia="宋体"/>
          <w:b w:val="0"/>
          <w:sz w:val="22"/>
        </w:rPr>
        <w:t>仲量联行、世邦魏理仕、戴德梁行、高力国际、第一太平戴维斯公开报告；易居研究院历史数据库；好租、点点租、58同城、安居客、房天下、楼盘网商办频道、办公伙伴类平台；楼宇/园区招商公众号；中介报价单；电话询价；实地踩盘；客户真实成交反馈。建议租金区分：公开挂牌、中介报价、实际成交。</w:t>
      </w:r>
    </w:p>
    <w:p>
      <w:pPr>
        <w:spacing w:before="240" w:after="120"/>
      </w:pPr>
      <w:r>
        <w:rPr>
          <w:rFonts w:ascii="黑体" w:hAnsi="黑体" w:eastAsia="黑体"/>
          <w:b/>
          <w:color w:val="2F5597"/>
          <w:sz w:val="28"/>
        </w:rPr>
        <w:t>3. 企业入驻数据库</w:t>
      </w:r>
    </w:p>
    <w:p>
      <w:pPr>
        <w:spacing w:before="160" w:after="80"/>
      </w:pPr>
      <w:r>
        <w:rPr>
          <w:rFonts w:ascii="黑体" w:hAnsi="黑体" w:eastAsia="黑体"/>
          <w:b/>
          <w:color w:val="4472C4"/>
          <w:sz w:val="24"/>
        </w:rPr>
        <w:t>核心字段</w:t>
      </w:r>
    </w:p>
    <w:p>
      <w:pPr>
        <w:spacing w:after="80" w:line="360" w:lineRule="auto"/>
        <w:ind w:firstLine="440"/>
      </w:pPr>
      <w:r>
        <w:rPr>
          <w:rFonts w:ascii="宋体" w:hAnsi="宋体" w:eastAsia="宋体"/>
          <w:b w:val="0"/>
          <w:sz w:val="22"/>
        </w:rPr>
        <w:t>企业名称、统一社会信用代码、注册资本、成立时间、注册地址、实际办公地址、所在楼宇/园区、所属行业、细分赛道、员工规模、融资轮次、是否专精特新、是否高新技术企业、是否上市/拟上市、经营状态、企业简介、关联母公司/子公司。</w:t>
      </w:r>
    </w:p>
    <w:p>
      <w:pPr>
        <w:spacing w:before="160" w:after="80"/>
      </w:pPr>
      <w:r>
        <w:rPr>
          <w:rFonts w:ascii="黑体" w:hAnsi="黑体" w:eastAsia="黑体"/>
          <w:b/>
          <w:color w:val="4472C4"/>
          <w:sz w:val="24"/>
        </w:rPr>
        <w:t>数据来源建议</w:t>
      </w:r>
    </w:p>
    <w:p>
      <w:pPr>
        <w:spacing w:after="80" w:line="360" w:lineRule="auto"/>
        <w:ind w:firstLine="440"/>
      </w:pPr>
      <w:r>
        <w:rPr>
          <w:rFonts w:ascii="宋体" w:hAnsi="宋体" w:eastAsia="宋体"/>
          <w:b w:val="0"/>
          <w:sz w:val="22"/>
        </w:rPr>
        <w:t>国家企业信用信息公示系统；上海市市场监督管理局；天眼查、企查查、爱企查、启信宝；Wind/iFinD/Choice 企业库；各区重点企业名录、高新企业、专精特新、小巨人企业名单；上市公司公告；融资新闻；园区入驻企业公示；楼宇水牌识别；企业官网与公众号；招聘平台地址信息；高德/百度企业POI；实地调研。注意区分注册地址与实际办公地址。</w:t>
      </w:r>
    </w:p>
    <w:p>
      <w:pPr>
        <w:spacing w:before="240" w:after="120"/>
      </w:pPr>
      <w:r>
        <w:rPr>
          <w:rFonts w:ascii="黑体" w:hAnsi="黑体" w:eastAsia="黑体"/>
          <w:b/>
          <w:color w:val="2F5597"/>
          <w:sz w:val="28"/>
        </w:rPr>
        <w:t>4. 企业迁徙数据库</w:t>
      </w:r>
    </w:p>
    <w:p>
      <w:pPr>
        <w:spacing w:before="160" w:after="80"/>
      </w:pPr>
      <w:r>
        <w:rPr>
          <w:rFonts w:ascii="黑体" w:hAnsi="黑体" w:eastAsia="黑体"/>
          <w:b/>
          <w:color w:val="4472C4"/>
          <w:sz w:val="24"/>
        </w:rPr>
        <w:t>核心字段</w:t>
      </w:r>
    </w:p>
    <w:p>
      <w:pPr>
        <w:spacing w:after="80" w:line="360" w:lineRule="auto"/>
        <w:ind w:firstLine="440"/>
      </w:pPr>
      <w:r>
        <w:rPr>
          <w:rFonts w:ascii="宋体" w:hAnsi="宋体" w:eastAsia="宋体"/>
          <w:b w:val="0"/>
          <w:sz w:val="22"/>
        </w:rPr>
        <w:t>企业名称、原办公地址、原楼宇/园区、原街道/镇、新办公地址、新楼宇/园区、新街道/镇、迁徙时间、迁徙类型、面积变化、租金变化、行业属性、企业规模、迁徙原因推测。</w:t>
      </w:r>
    </w:p>
    <w:p>
      <w:pPr>
        <w:spacing w:before="160" w:after="80"/>
      </w:pPr>
      <w:r>
        <w:rPr>
          <w:rFonts w:ascii="黑体" w:hAnsi="黑体" w:eastAsia="黑体"/>
          <w:b/>
          <w:color w:val="4472C4"/>
          <w:sz w:val="24"/>
        </w:rPr>
        <w:t>数据来源建议</w:t>
      </w:r>
    </w:p>
    <w:p>
      <w:pPr>
        <w:spacing w:after="80" w:line="360" w:lineRule="auto"/>
        <w:ind w:firstLine="440"/>
      </w:pPr>
      <w:r>
        <w:rPr>
          <w:rFonts w:ascii="宋体" w:hAnsi="宋体" w:eastAsia="宋体"/>
          <w:b w:val="0"/>
          <w:sz w:val="22"/>
        </w:rPr>
        <w:t>工商地址变更记录；企业官网搬迁公告；公众号迁址通知；招聘平台办公地址变化；地图POI地址变化；园区入驻新闻；楼宇签约新闻；中介成交记录；招商部门线索；物业访谈；企业访谈。判断标准：至少两个以上来源交叉验证。</w:t>
      </w:r>
    </w:p>
    <w:p>
      <w:pPr>
        <w:spacing w:before="240" w:after="120"/>
      </w:pPr>
      <w:r>
        <w:rPr>
          <w:rFonts w:ascii="黑体" w:hAnsi="黑体" w:eastAsia="黑体"/>
          <w:b/>
          <w:color w:val="2F5597"/>
          <w:sz w:val="28"/>
        </w:rPr>
        <w:t>5. 产业标签数据库</w:t>
      </w:r>
    </w:p>
    <w:p>
      <w:pPr>
        <w:spacing w:before="160" w:after="80"/>
      </w:pPr>
      <w:r>
        <w:rPr>
          <w:rFonts w:ascii="黑体" w:hAnsi="黑体" w:eastAsia="黑体"/>
          <w:b/>
          <w:color w:val="4472C4"/>
          <w:sz w:val="24"/>
        </w:rPr>
        <w:t>核心字段</w:t>
      </w:r>
    </w:p>
    <w:p>
      <w:pPr>
        <w:spacing w:after="80" w:line="360" w:lineRule="auto"/>
        <w:ind w:firstLine="440"/>
      </w:pPr>
      <w:r>
        <w:rPr>
          <w:rFonts w:ascii="宋体" w:hAnsi="宋体" w:eastAsia="宋体"/>
          <w:b w:val="0"/>
          <w:sz w:val="22"/>
        </w:rPr>
        <w:t>企业名称、一级行业、二级行业、三级赛道、战略性新兴产业属性、上海重点产业属性、新质生产力方向、产业链核心环节、上下游关系、主要产品、主要客户、技术方向、融资情况、专利数量、资质荣誉。</w:t>
      </w:r>
    </w:p>
    <w:p>
      <w:pPr>
        <w:spacing w:before="160" w:after="80"/>
      </w:pPr>
      <w:r>
        <w:rPr>
          <w:rFonts w:ascii="黑体" w:hAnsi="黑体" w:eastAsia="黑体"/>
          <w:b/>
          <w:color w:val="4472C4"/>
          <w:sz w:val="24"/>
        </w:rPr>
        <w:t>数据来源建议</w:t>
      </w:r>
    </w:p>
    <w:p>
      <w:pPr>
        <w:spacing w:after="80" w:line="360" w:lineRule="auto"/>
        <w:ind w:firstLine="440"/>
      </w:pPr>
      <w:r>
        <w:rPr>
          <w:rFonts w:ascii="宋体" w:hAnsi="宋体" w:eastAsia="宋体"/>
          <w:b w:val="0"/>
          <w:sz w:val="22"/>
        </w:rPr>
        <w:t>企业官网与招聘；融资新闻；国家知识产权局/专利数据库；启信宝/企查查产业标签；政府重点产业企业名单；各区/园区产业图谱；上市公司公告；产业研究报告；微信公众号与新闻报道。</w:t>
      </w:r>
    </w:p>
    <w:p>
      <w:pPr>
        <w:spacing w:before="240" w:after="120"/>
      </w:pPr>
      <w:r>
        <w:rPr>
          <w:rFonts w:ascii="黑体" w:hAnsi="黑体" w:eastAsia="黑体"/>
          <w:b/>
          <w:color w:val="2F5597"/>
          <w:sz w:val="28"/>
        </w:rPr>
        <w:t>6. 政策与配套数据库</w:t>
      </w:r>
    </w:p>
    <w:p>
      <w:pPr>
        <w:spacing w:before="160" w:after="80"/>
      </w:pPr>
      <w:r>
        <w:rPr>
          <w:rFonts w:ascii="黑体" w:hAnsi="黑体" w:eastAsia="黑体"/>
          <w:b/>
          <w:color w:val="4472C4"/>
          <w:sz w:val="24"/>
        </w:rPr>
        <w:t>核心字段</w:t>
      </w:r>
    </w:p>
    <w:p>
      <w:pPr>
        <w:spacing w:after="80" w:line="360" w:lineRule="auto"/>
        <w:ind w:firstLine="440"/>
      </w:pPr>
      <w:r>
        <w:rPr>
          <w:rFonts w:ascii="宋体" w:hAnsi="宋体" w:eastAsia="宋体"/>
          <w:b w:val="0"/>
          <w:sz w:val="22"/>
        </w:rPr>
        <w:t>区域政策、街镇招商政策、租金/装修/人才补贴、税收奖励、科技项目支持、产业基金、落户政策、人才公寓、公共服务平台、周边交通、商业配套、教育医疗资源、会议展示空间。</w:t>
      </w:r>
    </w:p>
    <w:p>
      <w:pPr>
        <w:spacing w:before="160" w:after="80"/>
      </w:pPr>
      <w:r>
        <w:rPr>
          <w:rFonts w:ascii="黑体" w:hAnsi="黑体" w:eastAsia="黑体"/>
          <w:b/>
          <w:color w:val="4472C4"/>
          <w:sz w:val="24"/>
        </w:rPr>
        <w:t>数据来源建议</w:t>
      </w:r>
    </w:p>
    <w:p>
      <w:pPr>
        <w:spacing w:after="80" w:line="360" w:lineRule="auto"/>
        <w:ind w:firstLine="440"/>
      </w:pPr>
      <w:r>
        <w:rPr>
          <w:rFonts w:ascii="宋体" w:hAnsi="宋体" w:eastAsia="宋体"/>
          <w:b w:val="0"/>
          <w:sz w:val="22"/>
        </w:rPr>
        <w:t>上海市/各区政府官网；各区投促办；各区科委、经委、商务委；街镇招商主管部门；园区招商手册；产业政策汇编；官方公众号；新闻发布会资料；政策申报平台。</w:t>
      </w:r>
    </w:p>
    <w:p>
      <w:r>
        <w:br w:type="page"/>
      </w:r>
    </w:p>
    <w:p>
      <w:pPr>
        <w:spacing w:before="360" w:after="200"/>
      </w:pPr>
      <w:r>
        <w:rPr>
          <w:rFonts w:ascii="黑体" w:hAnsi="黑体" w:eastAsia="黑体"/>
          <w:b/>
          <w:color w:val="1F497D"/>
          <w:sz w:val="36"/>
        </w:rPr>
        <w:t>附篇二  核心指标体系（五大指数）</w:t>
      </w:r>
    </w:p>
    <w:p>
      <w:pPr>
        <w:spacing w:before="240" w:after="120"/>
      </w:pPr>
      <w:r>
        <w:rPr>
          <w:rFonts w:ascii="黑体" w:hAnsi="黑体" w:eastAsia="黑体"/>
          <w:b/>
          <w:color w:val="2F5597"/>
          <w:sz w:val="28"/>
        </w:rPr>
        <w:t>1. 区域市场景气指数</w:t>
      </w:r>
    </w:p>
    <w:p>
      <w:pPr>
        <w:spacing w:before="160" w:after="80"/>
      </w:pPr>
      <w:r>
        <w:rPr>
          <w:rFonts w:ascii="黑体" w:hAnsi="黑体" w:eastAsia="黑体"/>
          <w:b/>
          <w:color w:val="4472C4"/>
          <w:sz w:val="24"/>
        </w:rPr>
        <w:t>指标构成</w:t>
      </w:r>
    </w:p>
    <w:p>
      <w:pPr>
        <w:spacing w:after="80" w:line="360" w:lineRule="auto"/>
        <w:ind w:firstLine="440"/>
      </w:pPr>
      <w:r>
        <w:rPr>
          <w:rFonts w:ascii="宋体" w:hAnsi="宋体" w:eastAsia="宋体"/>
          <w:b w:val="0"/>
          <w:sz w:val="22"/>
        </w:rPr>
        <w:t>租金变化、空置率变化、新增成交面积、新增企业数量、企业净流入数量、招商去化速度。</w:t>
      </w:r>
    </w:p>
    <w:p>
      <w:pPr>
        <w:spacing w:before="160" w:after="80"/>
      </w:pPr>
      <w:r>
        <w:rPr>
          <w:rFonts w:ascii="黑体" w:hAnsi="黑体" w:eastAsia="黑体"/>
          <w:b/>
          <w:color w:val="4472C4"/>
          <w:sz w:val="24"/>
        </w:rPr>
        <w:t>用途</w:t>
      </w:r>
    </w:p>
    <w:p>
      <w:pPr>
        <w:spacing w:after="80" w:line="360" w:lineRule="auto"/>
        <w:ind w:firstLine="440"/>
      </w:pPr>
      <w:r>
        <w:rPr>
          <w:rFonts w:ascii="宋体" w:hAnsi="宋体" w:eastAsia="宋体"/>
          <w:b w:val="0"/>
          <w:sz w:val="22"/>
        </w:rPr>
        <w:t>判断区域市场冷热；识别短期市场波动；辅助政府和资产方进行预警。</w:t>
      </w:r>
    </w:p>
    <w:p>
      <w:pPr>
        <w:spacing w:before="240" w:after="120"/>
      </w:pPr>
      <w:r>
        <w:rPr>
          <w:rFonts w:ascii="黑体" w:hAnsi="黑体" w:eastAsia="黑体"/>
          <w:b/>
          <w:color w:val="2F5597"/>
          <w:sz w:val="28"/>
        </w:rPr>
        <w:t>2. 楼宇/园区竞争力指数</w:t>
      </w:r>
    </w:p>
    <w:p>
      <w:pPr>
        <w:spacing w:before="160" w:after="80"/>
      </w:pPr>
      <w:r>
        <w:rPr>
          <w:rFonts w:ascii="黑体" w:hAnsi="黑体" w:eastAsia="黑体"/>
          <w:b/>
          <w:color w:val="4472C4"/>
          <w:sz w:val="24"/>
        </w:rPr>
        <w:t>指标构成</w:t>
      </w:r>
    </w:p>
    <w:p>
      <w:pPr>
        <w:spacing w:after="80" w:line="360" w:lineRule="auto"/>
        <w:ind w:firstLine="440"/>
      </w:pPr>
      <w:r>
        <w:rPr>
          <w:rFonts w:ascii="宋体" w:hAnsi="宋体" w:eastAsia="宋体"/>
          <w:b w:val="0"/>
          <w:sz w:val="22"/>
        </w:rPr>
        <w:t>区位交通、租金性价比、空间品质、产业集聚、企业质量、服务能力、政策资源、去化表现。</w:t>
      </w:r>
    </w:p>
    <w:p>
      <w:pPr>
        <w:spacing w:before="160" w:after="80"/>
      </w:pPr>
      <w:r>
        <w:rPr>
          <w:rFonts w:ascii="黑体" w:hAnsi="黑体" w:eastAsia="黑体"/>
          <w:b/>
          <w:color w:val="4472C4"/>
          <w:sz w:val="24"/>
        </w:rPr>
        <w:t>用途</w:t>
      </w:r>
    </w:p>
    <w:p>
      <w:pPr>
        <w:spacing w:after="80" w:line="360" w:lineRule="auto"/>
        <w:ind w:firstLine="440"/>
      </w:pPr>
      <w:r>
        <w:rPr>
          <w:rFonts w:ascii="宋体" w:hAnsi="宋体" w:eastAsia="宋体"/>
          <w:b w:val="0"/>
          <w:sz w:val="22"/>
        </w:rPr>
        <w:t>对重点楼宇和园区横向比较，形成资产诊断模型，支撑招商和资管建议。</w:t>
      </w:r>
    </w:p>
    <w:p>
      <w:pPr>
        <w:spacing w:before="240" w:after="120"/>
      </w:pPr>
      <w:r>
        <w:rPr>
          <w:rFonts w:ascii="黑体" w:hAnsi="黑体" w:eastAsia="黑体"/>
          <w:b/>
          <w:color w:val="2F5597"/>
          <w:sz w:val="28"/>
        </w:rPr>
        <w:t>3. 企业需求热度指数</w:t>
      </w:r>
    </w:p>
    <w:p>
      <w:pPr>
        <w:spacing w:before="160" w:after="80"/>
      </w:pPr>
      <w:r>
        <w:rPr>
          <w:rFonts w:ascii="黑体" w:hAnsi="黑体" w:eastAsia="黑体"/>
          <w:b/>
          <w:color w:val="4472C4"/>
          <w:sz w:val="24"/>
        </w:rPr>
        <w:t>指标构成</w:t>
      </w:r>
    </w:p>
    <w:p>
      <w:pPr>
        <w:spacing w:after="80" w:line="360" w:lineRule="auto"/>
        <w:ind w:firstLine="440"/>
      </w:pPr>
      <w:r>
        <w:rPr>
          <w:rFonts w:ascii="宋体" w:hAnsi="宋体" w:eastAsia="宋体"/>
          <w:b w:val="0"/>
          <w:sz w:val="22"/>
        </w:rPr>
        <w:t>新注册企业数量、融资企业数量、招聘岗位增长、扩租企业数量、新租企业数量、重点产业企业活跃度。</w:t>
      </w:r>
    </w:p>
    <w:p>
      <w:pPr>
        <w:spacing w:before="160" w:after="80"/>
      </w:pPr>
      <w:r>
        <w:rPr>
          <w:rFonts w:ascii="黑体" w:hAnsi="黑体" w:eastAsia="黑体"/>
          <w:b/>
          <w:color w:val="4472C4"/>
          <w:sz w:val="24"/>
        </w:rPr>
        <w:t>用途</w:t>
      </w:r>
    </w:p>
    <w:p>
      <w:pPr>
        <w:spacing w:after="80" w:line="360" w:lineRule="auto"/>
        <w:ind w:firstLine="440"/>
      </w:pPr>
      <w:r>
        <w:rPr>
          <w:rFonts w:ascii="宋体" w:hAnsi="宋体" w:eastAsia="宋体"/>
          <w:b w:val="0"/>
          <w:sz w:val="22"/>
        </w:rPr>
        <w:t>判断企业需求强弱，识别产业增长方向，输出招商线索。</w:t>
      </w:r>
    </w:p>
    <w:p>
      <w:pPr>
        <w:spacing w:before="240" w:after="120"/>
      </w:pPr>
      <w:r>
        <w:rPr>
          <w:rFonts w:ascii="黑体" w:hAnsi="黑体" w:eastAsia="黑体"/>
          <w:b/>
          <w:color w:val="2F5597"/>
          <w:sz w:val="28"/>
        </w:rPr>
        <w:t>4. 产业集聚度指数</w:t>
      </w:r>
    </w:p>
    <w:p>
      <w:pPr>
        <w:spacing w:before="160" w:after="80"/>
      </w:pPr>
      <w:r>
        <w:rPr>
          <w:rFonts w:ascii="黑体" w:hAnsi="黑体" w:eastAsia="黑体"/>
          <w:b/>
          <w:color w:val="4472C4"/>
          <w:sz w:val="24"/>
        </w:rPr>
        <w:t>指标构成</w:t>
      </w:r>
    </w:p>
    <w:p>
      <w:pPr>
        <w:spacing w:after="80" w:line="360" w:lineRule="auto"/>
        <w:ind w:firstLine="440"/>
      </w:pPr>
      <w:r>
        <w:rPr>
          <w:rFonts w:ascii="宋体" w:hAnsi="宋体" w:eastAsia="宋体"/>
          <w:b w:val="0"/>
          <w:sz w:val="22"/>
        </w:rPr>
        <w:t>同行业企业数量、龙头企业数量、上下游企业完整度、专精特新企业数量、高新技术企业数量、产业链协同程度。</w:t>
      </w:r>
    </w:p>
    <w:p>
      <w:pPr>
        <w:spacing w:before="160" w:after="80"/>
      </w:pPr>
      <w:r>
        <w:rPr>
          <w:rFonts w:ascii="黑体" w:hAnsi="黑体" w:eastAsia="黑体"/>
          <w:b/>
          <w:color w:val="4472C4"/>
          <w:sz w:val="24"/>
        </w:rPr>
        <w:t>用途</w:t>
      </w:r>
    </w:p>
    <w:p>
      <w:pPr>
        <w:spacing w:after="80" w:line="360" w:lineRule="auto"/>
        <w:ind w:firstLine="440"/>
      </w:pPr>
      <w:r>
        <w:rPr>
          <w:rFonts w:ascii="宋体" w:hAnsi="宋体" w:eastAsia="宋体"/>
          <w:b w:val="0"/>
          <w:sz w:val="22"/>
        </w:rPr>
        <w:t>判断区域主导产业，识别产业集群成熟度，支撑产业招商与补链强链。</w:t>
      </w:r>
    </w:p>
    <w:p>
      <w:pPr>
        <w:spacing w:before="240" w:after="120"/>
      </w:pPr>
      <w:r>
        <w:rPr>
          <w:rFonts w:ascii="黑体" w:hAnsi="黑体" w:eastAsia="黑体"/>
          <w:b/>
          <w:color w:val="2F5597"/>
          <w:sz w:val="28"/>
        </w:rPr>
        <w:t>5. 供需匹配度指数</w:t>
      </w:r>
    </w:p>
    <w:p>
      <w:pPr>
        <w:spacing w:before="160" w:after="80"/>
      </w:pPr>
      <w:r>
        <w:rPr>
          <w:rFonts w:ascii="黑体" w:hAnsi="黑体" w:eastAsia="黑体"/>
          <w:b/>
          <w:color w:val="4472C4"/>
          <w:sz w:val="24"/>
        </w:rPr>
        <w:t>指标构成</w:t>
      </w:r>
    </w:p>
    <w:p>
      <w:pPr>
        <w:spacing w:after="80" w:line="360" w:lineRule="auto"/>
        <w:ind w:firstLine="440"/>
      </w:pPr>
      <w:r>
        <w:rPr>
          <w:rFonts w:ascii="宋体" w:hAnsi="宋体" w:eastAsia="宋体"/>
          <w:b w:val="0"/>
          <w:sz w:val="22"/>
        </w:rPr>
        <w:t>载体面积与企业需求匹配度、租金与企业承受能力匹配度、区域产业定位与企业属性匹配度、政策与企业发展阶段匹配度、空间产品与企业使用场景匹配度。</w:t>
      </w:r>
    </w:p>
    <w:p>
      <w:pPr>
        <w:spacing w:before="160" w:after="80"/>
      </w:pPr>
      <w:r>
        <w:rPr>
          <w:rFonts w:ascii="黑体" w:hAnsi="黑体" w:eastAsia="黑体"/>
          <w:b/>
          <w:color w:val="4472C4"/>
          <w:sz w:val="24"/>
        </w:rPr>
        <w:t>用途</w:t>
      </w:r>
    </w:p>
    <w:p>
      <w:pPr>
        <w:spacing w:after="80" w:line="360" w:lineRule="auto"/>
        <w:ind w:firstLine="440"/>
      </w:pPr>
      <w:r>
        <w:rPr>
          <w:rFonts w:ascii="宋体" w:hAnsi="宋体" w:eastAsia="宋体"/>
          <w:b w:val="0"/>
          <w:sz w:val="22"/>
        </w:rPr>
        <w:t>判断哪些楼宇适配哪些企业，哪些园区适配哪些产业，支撑精准招商与企业选址。</w:t>
      </w:r>
    </w:p>
    <w:p>
      <w:r>
        <w:br w:type="page"/>
      </w:r>
    </w:p>
    <w:p>
      <w:pPr>
        <w:spacing w:before="360" w:after="200"/>
      </w:pPr>
      <w:r>
        <w:rPr>
          <w:rFonts w:ascii="黑体" w:hAnsi="黑体" w:eastAsia="黑体"/>
          <w:b/>
          <w:color w:val="1F497D"/>
          <w:sz w:val="36"/>
        </w:rPr>
        <w:t>附篇三  数据调用、采集与合规建议</w:t>
      </w:r>
    </w:p>
    <w:p>
      <w:pPr>
        <w:spacing w:before="240" w:after="120"/>
      </w:pPr>
      <w:r>
        <w:rPr>
          <w:rFonts w:ascii="黑体" w:hAnsi="黑体" w:eastAsia="黑体"/>
          <w:b/>
          <w:color w:val="2F5597"/>
          <w:sz w:val="28"/>
        </w:rPr>
        <w:t>一、五项数据调用原则</w:t>
      </w:r>
    </w:p>
    <w:p>
      <w:pPr>
        <w:pStyle w:val="ListBullet"/>
        <w:spacing w:line="324" w:lineRule="auto"/>
        <w:ind w:left="454"/>
      </w:pPr>
      <w:r/>
      <w:r>
        <w:rPr>
          <w:rFonts w:ascii="宋体" w:hAnsi="宋体" w:eastAsia="宋体"/>
          <w:b w:val="0"/>
          <w:sz w:val="22"/>
        </w:rPr>
        <w:t>公开合规原则：优先使用公开数据、授权数据、合作数据和调研数据；</w:t>
      </w:r>
    </w:p>
    <w:p>
      <w:pPr>
        <w:pStyle w:val="ListBullet"/>
        <w:spacing w:line="324" w:lineRule="auto"/>
        <w:ind w:left="454"/>
      </w:pPr>
      <w:r/>
      <w:r>
        <w:rPr>
          <w:rFonts w:ascii="宋体" w:hAnsi="宋体" w:eastAsia="宋体"/>
          <w:b w:val="0"/>
          <w:sz w:val="22"/>
        </w:rPr>
        <w:t>多源交叉原则：关键字段至少两个以上来源验证；</w:t>
      </w:r>
    </w:p>
    <w:p>
      <w:pPr>
        <w:pStyle w:val="ListBullet"/>
        <w:spacing w:line="324" w:lineRule="auto"/>
        <w:ind w:left="454"/>
      </w:pPr>
      <w:r/>
      <w:r>
        <w:rPr>
          <w:rFonts w:ascii="宋体" w:hAnsi="宋体" w:eastAsia="宋体"/>
          <w:b w:val="0"/>
          <w:sz w:val="22"/>
        </w:rPr>
        <w:t>动态更新原则：建立月度更新机制；</w:t>
      </w:r>
    </w:p>
    <w:p>
      <w:pPr>
        <w:pStyle w:val="ListBullet"/>
        <w:spacing w:line="324" w:lineRule="auto"/>
        <w:ind w:left="454"/>
      </w:pPr>
      <w:r/>
      <w:r>
        <w:rPr>
          <w:rFonts w:ascii="宋体" w:hAnsi="宋体" w:eastAsia="宋体"/>
          <w:b w:val="0"/>
          <w:sz w:val="22"/>
        </w:rPr>
        <w:t>分级可信原则：A级（官方/企业公告/实地/合作方）、B级（机构报告/招商文件/物业访谈）、C级（公开挂牌/中介口径/平台抓取）、D级（网络零散信息，仅作线索参考）；</w:t>
      </w:r>
    </w:p>
    <w:p>
      <w:pPr>
        <w:pStyle w:val="ListBullet"/>
        <w:spacing w:line="324" w:lineRule="auto"/>
        <w:ind w:left="454"/>
      </w:pPr>
      <w:r/>
      <w:r>
        <w:rPr>
          <w:rFonts w:ascii="宋体" w:hAnsi="宋体" w:eastAsia="宋体"/>
          <w:b w:val="0"/>
          <w:sz w:val="22"/>
        </w:rPr>
        <w:t>人工校验原则：AI和工具用于提效，关键样本由研究员和线下调研校验。</w:t>
      </w:r>
    </w:p>
    <w:p>
      <w:pPr>
        <w:spacing w:before="240" w:after="120"/>
      </w:pPr>
      <w:r>
        <w:rPr>
          <w:rFonts w:ascii="黑体" w:hAnsi="黑体" w:eastAsia="黑体"/>
          <w:b/>
          <w:color w:val="2F5597"/>
          <w:sz w:val="28"/>
        </w:rPr>
        <w:t>二、四阶段数据采集分期</w:t>
      </w:r>
    </w:p>
    <w:tbl>
      <w:tblPr>
        <w:tblStyle w:val="LightGrid-Accent1"/>
        <w:tblW w:type="auto" w:w="0"/>
        <w:jc w:val="center"/>
        <w:tblLook w:firstColumn="1" w:firstRow="1" w:lastColumn="0" w:lastRow="0" w:noHBand="0" w:noVBand="1" w:val="04A0"/>
      </w:tblPr>
      <w:tblGrid>
        <w:gridCol w:w="2323"/>
        <w:gridCol w:w="2323"/>
        <w:gridCol w:w="2323"/>
        <w:gridCol w:w="2323"/>
      </w:tblGrid>
      <w:tr>
        <w:tc>
          <w:tcPr>
            <w:tcW w:type="dxa" w:w="1984"/>
            <w:shd w:fill="1F4E79"/>
          </w:tcPr>
          <w:p>
            <w:pPr>
              <w:jc w:val="center"/>
            </w:pPr>
            <w:r/>
            <w:r>
              <w:rPr>
                <w:rFonts w:ascii="黑体" w:hAnsi="黑体" w:eastAsia="黑体"/>
                <w:b/>
                <w:color w:val="FFFFFF"/>
                <w:sz w:val="20"/>
              </w:rPr>
              <w:t>阶段</w:t>
            </w:r>
          </w:p>
        </w:tc>
        <w:tc>
          <w:tcPr>
            <w:tcW w:type="dxa" w:w="2551"/>
            <w:shd w:fill="1F4E79"/>
          </w:tcPr>
          <w:p>
            <w:pPr>
              <w:jc w:val="center"/>
            </w:pPr>
            <w:r/>
            <w:r>
              <w:rPr>
                <w:rFonts w:ascii="黑体" w:hAnsi="黑体" w:eastAsia="黑体"/>
                <w:b/>
                <w:color w:val="FFFFFF"/>
                <w:sz w:val="20"/>
              </w:rPr>
              <w:t>覆盖范围</w:t>
            </w:r>
          </w:p>
        </w:tc>
        <w:tc>
          <w:tcPr>
            <w:tcW w:type="dxa" w:w="2835"/>
            <w:shd w:fill="1F4E79"/>
          </w:tcPr>
          <w:p>
            <w:pPr>
              <w:jc w:val="center"/>
            </w:pPr>
            <w:r/>
            <w:r>
              <w:rPr>
                <w:rFonts w:ascii="黑体" w:hAnsi="黑体" w:eastAsia="黑体"/>
                <w:b/>
                <w:color w:val="FFFFFF"/>
                <w:sz w:val="20"/>
              </w:rPr>
              <w:t>阶段目标</w:t>
            </w:r>
          </w:p>
        </w:tc>
        <w:tc>
          <w:tcPr>
            <w:tcW w:type="dxa" w:w="2268"/>
            <w:shd w:fill="1F4E79"/>
          </w:tcPr>
          <w:p>
            <w:pPr>
              <w:jc w:val="center"/>
            </w:pPr>
            <w:r/>
            <w:r>
              <w:rPr>
                <w:rFonts w:ascii="黑体" w:hAnsi="黑体" w:eastAsia="黑体"/>
                <w:b/>
                <w:color w:val="FFFFFF"/>
                <w:sz w:val="20"/>
              </w:rPr>
              <w:t>建议成果</w:t>
            </w:r>
          </w:p>
        </w:tc>
      </w:tr>
      <w:tr>
        <w:tc>
          <w:tcPr>
            <w:tcW w:type="dxa" w:w="1984"/>
          </w:tcPr>
          <w:p>
            <w:r/>
            <w:r>
              <w:rPr>
                <w:rFonts w:ascii="宋体" w:hAnsi="宋体" w:eastAsia="宋体"/>
                <w:b w:val="0"/>
                <w:sz w:val="20"/>
              </w:rPr>
              <w:t>第一阶段 中心城区试点</w:t>
            </w:r>
          </w:p>
        </w:tc>
        <w:tc>
          <w:tcPr>
            <w:tcW w:type="dxa" w:w="2551"/>
          </w:tcPr>
          <w:p>
            <w:r/>
            <w:r>
              <w:rPr>
                <w:rFonts w:ascii="宋体" w:hAnsi="宋体" w:eastAsia="宋体"/>
                <w:b w:val="0"/>
                <w:sz w:val="20"/>
              </w:rPr>
              <w:t>黄浦、静安、徐汇、长宁、普陀、虹口、杨浦</w:t>
            </w:r>
          </w:p>
        </w:tc>
        <w:tc>
          <w:tcPr>
            <w:tcW w:type="dxa" w:w="2835"/>
          </w:tcPr>
          <w:p>
            <w:r/>
            <w:r>
              <w:rPr>
                <w:rFonts w:ascii="宋体" w:hAnsi="宋体" w:eastAsia="宋体"/>
                <w:b w:val="0"/>
                <w:sz w:val="20"/>
              </w:rPr>
              <w:t>建立字段与匹配规则；建立租金、空置采集口径；建立企业迁徙识别模型</w:t>
            </w:r>
          </w:p>
        </w:tc>
        <w:tc>
          <w:tcPr>
            <w:tcW w:type="dxa" w:w="2268"/>
          </w:tcPr>
          <w:p>
            <w:r/>
            <w:r>
              <w:rPr>
                <w:rFonts w:ascii="宋体" w:hAnsi="宋体" w:eastAsia="宋体"/>
                <w:b w:val="0"/>
                <w:sz w:val="20"/>
              </w:rPr>
              <w:t>《上海中心城区商办楼宇与产业园区市场试点报告》</w:t>
            </w:r>
          </w:p>
        </w:tc>
      </w:tr>
      <w:tr>
        <w:tc>
          <w:tcPr>
            <w:tcW w:type="dxa" w:w="1984"/>
          </w:tcPr>
          <w:p>
            <w:r/>
            <w:r>
              <w:rPr>
                <w:rFonts w:ascii="宋体" w:hAnsi="宋体" w:eastAsia="宋体"/>
                <w:b w:val="0"/>
                <w:sz w:val="20"/>
              </w:rPr>
              <w:t>第二阶段 浦东新区补全</w:t>
            </w:r>
          </w:p>
        </w:tc>
        <w:tc>
          <w:tcPr>
            <w:tcW w:type="dxa" w:w="2551"/>
          </w:tcPr>
          <w:p>
            <w:r/>
            <w:r>
              <w:rPr>
                <w:rFonts w:ascii="宋体" w:hAnsi="宋体" w:eastAsia="宋体"/>
                <w:b w:val="0"/>
                <w:sz w:val="20"/>
              </w:rPr>
              <w:t>陆家嘴、前滩、张江、金桥、外高桥、世纪公园、临港、唐镇、康桥、周浦</w:t>
            </w:r>
          </w:p>
        </w:tc>
        <w:tc>
          <w:tcPr>
            <w:tcW w:type="dxa" w:w="2835"/>
          </w:tcPr>
          <w:p>
            <w:r/>
            <w:r>
              <w:rPr>
                <w:rFonts w:ascii="宋体" w:hAnsi="宋体" w:eastAsia="宋体"/>
                <w:b w:val="0"/>
                <w:sz w:val="20"/>
              </w:rPr>
              <w:t>补齐高端商务、科创研发与硬科技产业空间样本</w:t>
            </w:r>
          </w:p>
        </w:tc>
        <w:tc>
          <w:tcPr>
            <w:tcW w:type="dxa" w:w="2268"/>
          </w:tcPr>
          <w:p>
            <w:r/>
            <w:r>
              <w:rPr>
                <w:rFonts w:ascii="宋体" w:hAnsi="宋体" w:eastAsia="宋体"/>
                <w:b w:val="0"/>
                <w:sz w:val="20"/>
              </w:rPr>
              <w:t>浦东商务与产业空间补全数据库</w:t>
            </w:r>
          </w:p>
        </w:tc>
      </w:tr>
      <w:tr>
        <w:tc>
          <w:tcPr>
            <w:tcW w:type="dxa" w:w="1984"/>
          </w:tcPr>
          <w:p>
            <w:r/>
            <w:r>
              <w:rPr>
                <w:rFonts w:ascii="宋体" w:hAnsi="宋体" w:eastAsia="宋体"/>
                <w:b w:val="0"/>
                <w:sz w:val="20"/>
              </w:rPr>
              <w:t>第三阶段 重点产业区补全</w:t>
            </w:r>
          </w:p>
        </w:tc>
        <w:tc>
          <w:tcPr>
            <w:tcW w:type="dxa" w:w="2551"/>
          </w:tcPr>
          <w:p>
            <w:r/>
            <w:r>
              <w:rPr>
                <w:rFonts w:ascii="宋体" w:hAnsi="宋体" w:eastAsia="宋体"/>
                <w:b w:val="0"/>
                <w:sz w:val="20"/>
              </w:rPr>
              <w:t>闵行、嘉定、松江、青浦、宝山、奉贤；漕河泾、紫竹、嘉定汽车城、G60、南大、东方美谷、西虹桥</w:t>
            </w:r>
          </w:p>
        </w:tc>
        <w:tc>
          <w:tcPr>
            <w:tcW w:type="dxa" w:w="2835"/>
          </w:tcPr>
          <w:p>
            <w:r/>
            <w:r>
              <w:rPr>
                <w:rFonts w:ascii="宋体" w:hAnsi="宋体" w:eastAsia="宋体"/>
                <w:b w:val="0"/>
                <w:sz w:val="20"/>
              </w:rPr>
              <w:t>覆盖上海主要产业空间；新兴产业迁徙与产业链空间布局</w:t>
            </w:r>
          </w:p>
        </w:tc>
        <w:tc>
          <w:tcPr>
            <w:tcW w:type="dxa" w:w="2268"/>
          </w:tcPr>
          <w:p>
            <w:r/>
            <w:r>
              <w:rPr>
                <w:rFonts w:ascii="宋体" w:hAnsi="宋体" w:eastAsia="宋体"/>
                <w:b w:val="0"/>
                <w:sz w:val="20"/>
              </w:rPr>
              <w:t>重点产业区专题数据库</w:t>
            </w:r>
          </w:p>
        </w:tc>
      </w:tr>
      <w:tr>
        <w:tc>
          <w:tcPr>
            <w:tcW w:type="dxa" w:w="1984"/>
          </w:tcPr>
          <w:p>
            <w:r/>
            <w:r>
              <w:rPr>
                <w:rFonts w:ascii="宋体" w:hAnsi="宋体" w:eastAsia="宋体"/>
                <w:b w:val="0"/>
                <w:sz w:val="20"/>
              </w:rPr>
              <w:t>第四阶段 全域覆盖</w:t>
            </w:r>
          </w:p>
        </w:tc>
        <w:tc>
          <w:tcPr>
            <w:tcW w:type="dxa" w:w="2551"/>
          </w:tcPr>
          <w:p>
            <w:r/>
            <w:r>
              <w:rPr>
                <w:rFonts w:ascii="宋体" w:hAnsi="宋体" w:eastAsia="宋体"/>
                <w:b w:val="0"/>
                <w:sz w:val="20"/>
              </w:rPr>
              <w:t>16区全覆盖</w:t>
            </w:r>
          </w:p>
        </w:tc>
        <w:tc>
          <w:tcPr>
            <w:tcW w:type="dxa" w:w="2835"/>
          </w:tcPr>
          <w:p>
            <w:r/>
            <w:r>
              <w:rPr>
                <w:rFonts w:ascii="宋体" w:hAnsi="宋体" w:eastAsia="宋体"/>
                <w:b w:val="0"/>
                <w:sz w:val="20"/>
              </w:rPr>
              <w:t>形成上海全域动态数据库；支持月度/季度/年度产品</w:t>
            </w:r>
          </w:p>
        </w:tc>
        <w:tc>
          <w:tcPr>
            <w:tcW w:type="dxa" w:w="2268"/>
          </w:tcPr>
          <w:p>
            <w:r/>
            <w:r>
              <w:rPr>
                <w:rFonts w:ascii="宋体" w:hAnsi="宋体" w:eastAsia="宋体"/>
                <w:b w:val="0"/>
                <w:sz w:val="20"/>
              </w:rPr>
              <w:t>上海商办楼宇与产业园区全域动态数据库</w:t>
            </w:r>
          </w:p>
        </w:tc>
      </w:tr>
    </w:tbl>
    <w:p>
      <w:pPr>
        <w:spacing w:after="120"/>
      </w:pPr>
    </w:p>
    <w:p>
      <w:pPr>
        <w:spacing w:before="240" w:after="120"/>
      </w:pPr>
      <w:r>
        <w:rPr>
          <w:rFonts w:ascii="黑体" w:hAnsi="黑体" w:eastAsia="黑体"/>
          <w:b/>
          <w:color w:val="2F5597"/>
          <w:sz w:val="28"/>
        </w:rPr>
        <w:t>三、合规性要点</w:t>
      </w:r>
    </w:p>
    <w:p>
      <w:pPr>
        <w:pStyle w:val="ListBullet"/>
        <w:spacing w:line="324" w:lineRule="auto"/>
        <w:ind w:left="454"/>
      </w:pPr>
      <w:r/>
      <w:r>
        <w:rPr>
          <w:rFonts w:ascii="宋体" w:hAnsi="宋体" w:eastAsia="宋体"/>
          <w:b w:val="0"/>
          <w:sz w:val="22"/>
        </w:rPr>
        <w:t>优先使用公开数据；不采集个人隐私；不采集非公开商业秘密；</w:t>
      </w:r>
    </w:p>
    <w:p>
      <w:pPr>
        <w:pStyle w:val="ListBullet"/>
        <w:spacing w:line="324" w:lineRule="auto"/>
        <w:ind w:left="454"/>
      </w:pPr>
      <w:r/>
      <w:r>
        <w:rPr>
          <w:rFonts w:ascii="宋体" w:hAnsi="宋体" w:eastAsia="宋体"/>
          <w:b w:val="0"/>
          <w:sz w:val="22"/>
        </w:rPr>
        <w:t>企业联系方式谨慎处理；</w:t>
      </w:r>
    </w:p>
    <w:p>
      <w:pPr>
        <w:pStyle w:val="ListBullet"/>
        <w:spacing w:line="324" w:lineRule="auto"/>
        <w:ind w:left="454"/>
      </w:pPr>
      <w:r/>
      <w:r>
        <w:rPr>
          <w:rFonts w:ascii="宋体" w:hAnsi="宋体" w:eastAsia="宋体"/>
          <w:b w:val="0"/>
          <w:sz w:val="22"/>
        </w:rPr>
        <w:t>报告以统计性、汇总性结果为主；</w:t>
      </w:r>
    </w:p>
    <w:p>
      <w:pPr>
        <w:pStyle w:val="ListBullet"/>
        <w:spacing w:line="324" w:lineRule="auto"/>
        <w:ind w:left="454"/>
      </w:pPr>
      <w:r/>
      <w:r>
        <w:rPr>
          <w:rFonts w:ascii="宋体" w:hAnsi="宋体" w:eastAsia="宋体"/>
          <w:b w:val="0"/>
          <w:sz w:val="22"/>
        </w:rPr>
        <w:t>对单一企业敏感信息避免未经确认披露；</w:t>
      </w:r>
    </w:p>
    <w:p>
      <w:pPr>
        <w:pStyle w:val="ListBullet"/>
        <w:spacing w:line="324" w:lineRule="auto"/>
        <w:ind w:left="454"/>
      </w:pPr>
      <w:r/>
      <w:r>
        <w:rPr>
          <w:rFonts w:ascii="宋体" w:hAnsi="宋体" w:eastAsia="宋体"/>
          <w:b w:val="0"/>
          <w:sz w:val="22"/>
        </w:rPr>
        <w:t>对外发布前进行合规审查。</w:t>
      </w:r>
    </w:p>
    <w:p>
      <w:r>
        <w:br w:type="page"/>
      </w:r>
    </w:p>
    <w:p>
      <w:pPr>
        <w:spacing w:before="360" w:after="200"/>
      </w:pPr>
      <w:r>
        <w:rPr>
          <w:rFonts w:ascii="黑体" w:hAnsi="黑体" w:eastAsia="黑体"/>
          <w:b/>
          <w:color w:val="1F497D"/>
          <w:sz w:val="36"/>
        </w:rPr>
        <w:t>附篇四  分工协同机制与工作流程</w:t>
      </w:r>
    </w:p>
    <w:p>
      <w:pPr>
        <w:spacing w:before="240" w:after="120"/>
      </w:pPr>
      <w:r>
        <w:rPr>
          <w:rFonts w:ascii="黑体" w:hAnsi="黑体" w:eastAsia="黑体"/>
          <w:b/>
          <w:color w:val="2F5597"/>
          <w:sz w:val="28"/>
        </w:rPr>
        <w:t>一、易居研究院 建议职责</w:t>
      </w:r>
    </w:p>
    <w:p>
      <w:pPr>
        <w:pStyle w:val="ListBullet"/>
        <w:spacing w:line="324" w:lineRule="auto"/>
        <w:ind w:left="454"/>
      </w:pPr>
      <w:r/>
      <w:r>
        <w:rPr>
          <w:rFonts w:ascii="宋体" w:hAnsi="宋体" w:eastAsia="宋体"/>
          <w:b w:val="0"/>
          <w:sz w:val="22"/>
        </w:rPr>
        <w:t>商办市场研究框架设计；</w:t>
      </w:r>
    </w:p>
    <w:p>
      <w:pPr>
        <w:pStyle w:val="ListBullet"/>
        <w:spacing w:line="324" w:lineRule="auto"/>
        <w:ind w:left="454"/>
      </w:pPr>
      <w:r/>
      <w:r>
        <w:rPr>
          <w:rFonts w:ascii="宋体" w:hAnsi="宋体" w:eastAsia="宋体"/>
          <w:b w:val="0"/>
          <w:sz w:val="22"/>
        </w:rPr>
        <w:t>楼宇和园区统计口径制定；</w:t>
      </w:r>
    </w:p>
    <w:p>
      <w:pPr>
        <w:pStyle w:val="ListBullet"/>
        <w:spacing w:line="324" w:lineRule="auto"/>
        <w:ind w:left="454"/>
      </w:pPr>
      <w:r/>
      <w:r>
        <w:rPr>
          <w:rFonts w:ascii="宋体" w:hAnsi="宋体" w:eastAsia="宋体"/>
          <w:b w:val="0"/>
          <w:sz w:val="22"/>
        </w:rPr>
        <w:t>租金、空置、去化等市场指标研究；</w:t>
      </w:r>
    </w:p>
    <w:p>
      <w:pPr>
        <w:pStyle w:val="ListBullet"/>
        <w:spacing w:line="324" w:lineRule="auto"/>
        <w:ind w:left="454"/>
      </w:pPr>
      <w:r/>
      <w:r>
        <w:rPr>
          <w:rFonts w:ascii="宋体" w:hAnsi="宋体" w:eastAsia="宋体"/>
          <w:b w:val="0"/>
          <w:sz w:val="22"/>
        </w:rPr>
        <w:t>区域和板块市场分析；</w:t>
      </w:r>
    </w:p>
    <w:p>
      <w:pPr>
        <w:pStyle w:val="ListBullet"/>
        <w:spacing w:line="324" w:lineRule="auto"/>
        <w:ind w:left="454"/>
      </w:pPr>
      <w:r/>
      <w:r>
        <w:rPr>
          <w:rFonts w:ascii="宋体" w:hAnsi="宋体" w:eastAsia="宋体"/>
          <w:b w:val="0"/>
          <w:sz w:val="22"/>
        </w:rPr>
        <w:t>资产运营与招商策略研究；</w:t>
      </w:r>
    </w:p>
    <w:p>
      <w:pPr>
        <w:pStyle w:val="ListBullet"/>
        <w:spacing w:line="324" w:lineRule="auto"/>
        <w:ind w:left="454"/>
      </w:pPr>
      <w:r/>
      <w:r>
        <w:rPr>
          <w:rFonts w:ascii="宋体" w:hAnsi="宋体" w:eastAsia="宋体"/>
          <w:b w:val="0"/>
          <w:sz w:val="22"/>
        </w:rPr>
        <w:t>市场访谈和线下调研组织；</w:t>
      </w:r>
    </w:p>
    <w:p>
      <w:pPr>
        <w:pStyle w:val="ListBullet"/>
        <w:spacing w:line="324" w:lineRule="auto"/>
        <w:ind w:left="454"/>
      </w:pPr>
      <w:r/>
      <w:r>
        <w:rPr>
          <w:rFonts w:ascii="宋体" w:hAnsi="宋体" w:eastAsia="宋体"/>
          <w:b w:val="0"/>
          <w:sz w:val="22"/>
        </w:rPr>
        <w:t>报告撰写和图表可视化；</w:t>
      </w:r>
    </w:p>
    <w:p>
      <w:pPr>
        <w:pStyle w:val="ListBullet"/>
        <w:spacing w:line="324" w:lineRule="auto"/>
        <w:ind w:left="454"/>
      </w:pPr>
      <w:r/>
      <w:r>
        <w:rPr>
          <w:rFonts w:ascii="宋体" w:hAnsi="宋体" w:eastAsia="宋体"/>
          <w:b w:val="0"/>
          <w:sz w:val="22"/>
        </w:rPr>
        <w:t>季度/年度市场趋势研判；</w:t>
      </w:r>
    </w:p>
    <w:p>
      <w:pPr>
        <w:pStyle w:val="ListBullet"/>
        <w:spacing w:line="324" w:lineRule="auto"/>
        <w:ind w:left="454"/>
      </w:pPr>
      <w:r/>
      <w:r>
        <w:rPr>
          <w:rFonts w:ascii="宋体" w:hAnsi="宋体" w:eastAsia="宋体"/>
          <w:b w:val="0"/>
          <w:sz w:val="22"/>
        </w:rPr>
        <w:t>面向资产方、园区方、政府部门的应用转化；</w:t>
      </w:r>
    </w:p>
    <w:p>
      <w:pPr>
        <w:pStyle w:val="ListBullet"/>
        <w:spacing w:line="324" w:lineRule="auto"/>
        <w:ind w:left="454"/>
      </w:pPr>
      <w:r/>
      <w:r>
        <w:rPr>
          <w:rFonts w:ascii="宋体" w:hAnsi="宋体" w:eastAsia="宋体"/>
          <w:b w:val="0"/>
          <w:sz w:val="22"/>
        </w:rPr>
        <w:t>对外发布与行业传播。</w:t>
      </w:r>
    </w:p>
    <w:p>
      <w:pPr>
        <w:spacing w:before="240" w:after="120"/>
      </w:pPr>
      <w:r>
        <w:rPr>
          <w:rFonts w:ascii="黑体" w:hAnsi="黑体" w:eastAsia="黑体"/>
          <w:b/>
          <w:color w:val="2F5597"/>
          <w:sz w:val="28"/>
        </w:rPr>
        <w:t>二、复旦大学住房政策研究中心 建议职责</w:t>
      </w:r>
    </w:p>
    <w:p>
      <w:pPr>
        <w:pStyle w:val="ListBullet"/>
        <w:spacing w:line="324" w:lineRule="auto"/>
        <w:ind w:left="454"/>
      </w:pPr>
      <w:r/>
      <w:r>
        <w:rPr>
          <w:rFonts w:ascii="宋体" w:hAnsi="宋体" w:eastAsia="宋体"/>
          <w:b w:val="0"/>
          <w:sz w:val="22"/>
        </w:rPr>
        <w:t>城市更新和空间治理理论框架支持；</w:t>
      </w:r>
    </w:p>
    <w:p>
      <w:pPr>
        <w:pStyle w:val="ListBullet"/>
        <w:spacing w:line="324" w:lineRule="auto"/>
        <w:ind w:left="454"/>
      </w:pPr>
      <w:r/>
      <w:r>
        <w:rPr>
          <w:rFonts w:ascii="宋体" w:hAnsi="宋体" w:eastAsia="宋体"/>
          <w:b w:val="0"/>
          <w:sz w:val="22"/>
        </w:rPr>
        <w:t>产业空间与城市功能关系研究；</w:t>
      </w:r>
    </w:p>
    <w:p>
      <w:pPr>
        <w:pStyle w:val="ListBullet"/>
        <w:spacing w:line="324" w:lineRule="auto"/>
        <w:ind w:left="454"/>
      </w:pPr>
      <w:r/>
      <w:r>
        <w:rPr>
          <w:rFonts w:ascii="宋体" w:hAnsi="宋体" w:eastAsia="宋体"/>
          <w:b w:val="0"/>
          <w:sz w:val="22"/>
        </w:rPr>
        <w:t>政策评价体系设计；</w:t>
      </w:r>
    </w:p>
    <w:p>
      <w:pPr>
        <w:pStyle w:val="ListBullet"/>
        <w:spacing w:line="324" w:lineRule="auto"/>
        <w:ind w:left="454"/>
      </w:pPr>
      <w:r/>
      <w:r>
        <w:rPr>
          <w:rFonts w:ascii="宋体" w:hAnsi="宋体" w:eastAsia="宋体"/>
          <w:b w:val="0"/>
          <w:sz w:val="22"/>
        </w:rPr>
        <w:t>政府决策建议撰写；</w:t>
      </w:r>
    </w:p>
    <w:p>
      <w:pPr>
        <w:pStyle w:val="ListBullet"/>
        <w:spacing w:line="324" w:lineRule="auto"/>
        <w:ind w:left="454"/>
      </w:pPr>
      <w:r/>
      <w:r>
        <w:rPr>
          <w:rFonts w:ascii="宋体" w:hAnsi="宋体" w:eastAsia="宋体"/>
          <w:b w:val="0"/>
          <w:sz w:val="22"/>
        </w:rPr>
        <w:t>数据合规与公共政策视角把关；</w:t>
      </w:r>
    </w:p>
    <w:p>
      <w:pPr>
        <w:pStyle w:val="ListBullet"/>
        <w:spacing w:line="324" w:lineRule="auto"/>
        <w:ind w:left="454"/>
      </w:pPr>
      <w:r/>
      <w:r>
        <w:rPr>
          <w:rFonts w:ascii="宋体" w:hAnsi="宋体" w:eastAsia="宋体"/>
          <w:b w:val="0"/>
          <w:sz w:val="22"/>
        </w:rPr>
        <w:t>城市住房、就业、通勤、产业空间协同研究；</w:t>
      </w:r>
    </w:p>
    <w:p>
      <w:pPr>
        <w:pStyle w:val="ListBullet"/>
        <w:spacing w:line="324" w:lineRule="auto"/>
        <w:ind w:left="454"/>
      </w:pPr>
      <w:r/>
      <w:r>
        <w:rPr>
          <w:rFonts w:ascii="宋体" w:hAnsi="宋体" w:eastAsia="宋体"/>
          <w:b w:val="0"/>
          <w:sz w:val="22"/>
        </w:rPr>
        <w:t>课题学术背书；</w:t>
      </w:r>
    </w:p>
    <w:p>
      <w:pPr>
        <w:pStyle w:val="ListBullet"/>
        <w:spacing w:line="324" w:lineRule="auto"/>
        <w:ind w:left="454"/>
      </w:pPr>
      <w:r/>
      <w:r>
        <w:rPr>
          <w:rFonts w:ascii="宋体" w:hAnsi="宋体" w:eastAsia="宋体"/>
          <w:b w:val="0"/>
          <w:sz w:val="22"/>
        </w:rPr>
        <w:t>专家研讨会组织；</w:t>
      </w:r>
    </w:p>
    <w:p>
      <w:pPr>
        <w:pStyle w:val="ListBullet"/>
        <w:spacing w:line="324" w:lineRule="auto"/>
        <w:ind w:left="454"/>
      </w:pPr>
      <w:r/>
      <w:r>
        <w:rPr>
          <w:rFonts w:ascii="宋体" w:hAnsi="宋体" w:eastAsia="宋体"/>
          <w:b w:val="0"/>
          <w:sz w:val="22"/>
        </w:rPr>
        <w:t>研究成果向政府端转化；</w:t>
      </w:r>
    </w:p>
    <w:p>
      <w:pPr>
        <w:pStyle w:val="ListBullet"/>
        <w:spacing w:line="324" w:lineRule="auto"/>
        <w:ind w:left="454"/>
      </w:pPr>
      <w:r/>
      <w:r>
        <w:rPr>
          <w:rFonts w:ascii="宋体" w:hAnsi="宋体" w:eastAsia="宋体"/>
          <w:b w:val="0"/>
          <w:sz w:val="22"/>
        </w:rPr>
        <w:t>年度白皮书及政策建议章节联合撰写。</w:t>
      </w:r>
    </w:p>
    <w:p>
      <w:pPr>
        <w:spacing w:before="240" w:after="120"/>
      </w:pPr>
      <w:r>
        <w:rPr>
          <w:rFonts w:ascii="黑体" w:hAnsi="黑体" w:eastAsia="黑体"/>
          <w:b/>
          <w:color w:val="2F5597"/>
          <w:sz w:val="28"/>
        </w:rPr>
        <w:t>三、数据技术与 AI 采集方 建议职责</w:t>
      </w:r>
    </w:p>
    <w:p>
      <w:pPr>
        <w:pStyle w:val="ListBullet"/>
        <w:spacing w:line="324" w:lineRule="auto"/>
        <w:ind w:left="454"/>
      </w:pPr>
      <w:r/>
      <w:r>
        <w:rPr>
          <w:rFonts w:ascii="宋体" w:hAnsi="宋体" w:eastAsia="宋体"/>
          <w:b w:val="0"/>
          <w:sz w:val="22"/>
        </w:rPr>
        <w:t>楼宇/园区 POI/AOI 数据采集；</w:t>
      </w:r>
    </w:p>
    <w:p>
      <w:pPr>
        <w:pStyle w:val="ListBullet"/>
        <w:spacing w:line="324" w:lineRule="auto"/>
        <w:ind w:left="454"/>
      </w:pPr>
      <w:r/>
      <w:r>
        <w:rPr>
          <w:rFonts w:ascii="宋体" w:hAnsi="宋体" w:eastAsia="宋体"/>
          <w:b w:val="0"/>
          <w:sz w:val="22"/>
        </w:rPr>
        <w:t>企业工商数据采集与清洗；</w:t>
      </w:r>
    </w:p>
    <w:p>
      <w:pPr>
        <w:pStyle w:val="ListBullet"/>
        <w:spacing w:line="324" w:lineRule="auto"/>
        <w:ind w:left="454"/>
      </w:pPr>
      <w:r/>
      <w:r>
        <w:rPr>
          <w:rFonts w:ascii="宋体" w:hAnsi="宋体" w:eastAsia="宋体"/>
          <w:b w:val="0"/>
          <w:sz w:val="22"/>
        </w:rPr>
        <w:t>企业地址识别和匹配；</w:t>
      </w:r>
    </w:p>
    <w:p>
      <w:pPr>
        <w:pStyle w:val="ListBullet"/>
        <w:spacing w:line="324" w:lineRule="auto"/>
        <w:ind w:left="454"/>
      </w:pPr>
      <w:r/>
      <w:r>
        <w:rPr>
          <w:rFonts w:ascii="宋体" w:hAnsi="宋体" w:eastAsia="宋体"/>
          <w:b w:val="0"/>
          <w:sz w:val="22"/>
        </w:rPr>
        <w:t>租金挂牌数据抓取；</w:t>
      </w:r>
    </w:p>
    <w:p>
      <w:pPr>
        <w:pStyle w:val="ListBullet"/>
        <w:spacing w:line="324" w:lineRule="auto"/>
        <w:ind w:left="454"/>
      </w:pPr>
      <w:r/>
      <w:r>
        <w:rPr>
          <w:rFonts w:ascii="宋体" w:hAnsi="宋体" w:eastAsia="宋体"/>
          <w:b w:val="0"/>
          <w:sz w:val="22"/>
        </w:rPr>
        <w:t>招聘、新闻、公众号、公告数据监测；</w:t>
      </w:r>
    </w:p>
    <w:p>
      <w:pPr>
        <w:pStyle w:val="ListBullet"/>
        <w:spacing w:line="324" w:lineRule="auto"/>
        <w:ind w:left="454"/>
      </w:pPr>
      <w:r/>
      <w:r>
        <w:rPr>
          <w:rFonts w:ascii="宋体" w:hAnsi="宋体" w:eastAsia="宋体"/>
          <w:b w:val="0"/>
          <w:sz w:val="22"/>
        </w:rPr>
        <w:t>企业迁徙线索识别；</w:t>
      </w:r>
    </w:p>
    <w:p>
      <w:pPr>
        <w:pStyle w:val="ListBullet"/>
        <w:spacing w:line="324" w:lineRule="auto"/>
        <w:ind w:left="454"/>
      </w:pPr>
      <w:r/>
      <w:r>
        <w:rPr>
          <w:rFonts w:ascii="宋体" w:hAnsi="宋体" w:eastAsia="宋体"/>
          <w:b w:val="0"/>
          <w:sz w:val="22"/>
        </w:rPr>
        <w:t>数据标准化处理与数据库搭建；</w:t>
      </w:r>
    </w:p>
    <w:p>
      <w:pPr>
        <w:pStyle w:val="ListBullet"/>
        <w:spacing w:line="324" w:lineRule="auto"/>
        <w:ind w:left="454"/>
      </w:pPr>
      <w:r/>
      <w:r>
        <w:rPr>
          <w:rFonts w:ascii="宋体" w:hAnsi="宋体" w:eastAsia="宋体"/>
          <w:b w:val="0"/>
          <w:sz w:val="22"/>
        </w:rPr>
        <w:t>基础指标计算、数据更新与接口维护。</w:t>
      </w:r>
    </w:p>
    <w:p>
      <w:pPr>
        <w:spacing w:before="240" w:after="120"/>
      </w:pPr>
      <w:r>
        <w:rPr>
          <w:rFonts w:ascii="黑体" w:hAnsi="黑体" w:eastAsia="黑体"/>
          <w:b/>
          <w:color w:val="2F5597"/>
          <w:sz w:val="28"/>
        </w:rPr>
        <w:t>四、联合工作机制（四类例会）</w:t>
      </w:r>
    </w:p>
    <w:tbl>
      <w:tblPr>
        <w:tblStyle w:val="LightGrid-Accent1"/>
        <w:tblW w:type="auto" w:w="0"/>
        <w:jc w:val="center"/>
        <w:tblLook w:firstColumn="1" w:firstRow="1" w:lastColumn="0" w:lastRow="0" w:noHBand="0" w:noVBand="1" w:val="04A0"/>
      </w:tblPr>
      <w:tblGrid>
        <w:gridCol w:w="3097"/>
        <w:gridCol w:w="3097"/>
        <w:gridCol w:w="3097"/>
      </w:tblGrid>
      <w:tr>
        <w:tc>
          <w:tcPr>
            <w:tcW w:type="dxa" w:w="1984"/>
            <w:shd w:fill="1F4E79"/>
          </w:tcPr>
          <w:p>
            <w:pPr>
              <w:jc w:val="center"/>
            </w:pPr>
            <w:r/>
            <w:r>
              <w:rPr>
                <w:rFonts w:ascii="黑体" w:hAnsi="黑体" w:eastAsia="黑体"/>
                <w:b/>
                <w:color w:val="FFFFFF"/>
                <w:sz w:val="20"/>
              </w:rPr>
              <w:t>机制</w:t>
            </w:r>
          </w:p>
        </w:tc>
        <w:tc>
          <w:tcPr>
            <w:tcW w:type="dxa" w:w="1134"/>
            <w:shd w:fill="1F4E79"/>
          </w:tcPr>
          <w:p>
            <w:pPr>
              <w:jc w:val="center"/>
            </w:pPr>
            <w:r/>
            <w:r>
              <w:rPr>
                <w:rFonts w:ascii="黑体" w:hAnsi="黑体" w:eastAsia="黑体"/>
                <w:b/>
                <w:color w:val="FFFFFF"/>
                <w:sz w:val="20"/>
              </w:rPr>
              <w:t>频率</w:t>
            </w:r>
          </w:p>
        </w:tc>
        <w:tc>
          <w:tcPr>
            <w:tcW w:type="dxa" w:w="5953"/>
            <w:shd w:fill="1F4E79"/>
          </w:tcPr>
          <w:p>
            <w:pPr>
              <w:jc w:val="center"/>
            </w:pPr>
            <w:r/>
            <w:r>
              <w:rPr>
                <w:rFonts w:ascii="黑体" w:hAnsi="黑体" w:eastAsia="黑体"/>
                <w:b/>
                <w:color w:val="FFFFFF"/>
                <w:sz w:val="20"/>
              </w:rPr>
              <w:t>重点议题</w:t>
            </w:r>
          </w:p>
        </w:tc>
      </w:tr>
      <w:tr>
        <w:tc>
          <w:tcPr>
            <w:tcW w:type="dxa" w:w="1984"/>
          </w:tcPr>
          <w:p>
            <w:r/>
            <w:r>
              <w:rPr>
                <w:rFonts w:ascii="宋体" w:hAnsi="宋体" w:eastAsia="宋体"/>
                <w:b w:val="0"/>
                <w:sz w:val="20"/>
              </w:rPr>
              <w:t>周度数据进度会</w:t>
            </w:r>
          </w:p>
        </w:tc>
        <w:tc>
          <w:tcPr>
            <w:tcW w:type="dxa" w:w="1134"/>
          </w:tcPr>
          <w:p>
            <w:r/>
            <w:r>
              <w:rPr>
                <w:rFonts w:ascii="宋体" w:hAnsi="宋体" w:eastAsia="宋体"/>
                <w:b w:val="0"/>
                <w:sz w:val="20"/>
              </w:rPr>
              <w:t>周</w:t>
            </w:r>
          </w:p>
        </w:tc>
        <w:tc>
          <w:tcPr>
            <w:tcW w:type="dxa" w:w="5953"/>
          </w:tcPr>
          <w:p>
            <w:r/>
            <w:r>
              <w:rPr>
                <w:rFonts w:ascii="宋体" w:hAnsi="宋体" w:eastAsia="宋体"/>
                <w:b w:val="0"/>
                <w:sz w:val="20"/>
              </w:rPr>
              <w:t>数据采集进度、字段问题、样本校验、异常数据处理</w:t>
            </w:r>
          </w:p>
        </w:tc>
      </w:tr>
      <w:tr>
        <w:tc>
          <w:tcPr>
            <w:tcW w:type="dxa" w:w="1984"/>
          </w:tcPr>
          <w:p>
            <w:r/>
            <w:r>
              <w:rPr>
                <w:rFonts w:ascii="宋体" w:hAnsi="宋体" w:eastAsia="宋体"/>
                <w:b w:val="0"/>
                <w:sz w:val="20"/>
              </w:rPr>
              <w:t>双周研究模型评审会</w:t>
            </w:r>
          </w:p>
        </w:tc>
        <w:tc>
          <w:tcPr>
            <w:tcW w:type="dxa" w:w="1134"/>
          </w:tcPr>
          <w:p>
            <w:r/>
            <w:r>
              <w:rPr>
                <w:rFonts w:ascii="宋体" w:hAnsi="宋体" w:eastAsia="宋体"/>
                <w:b w:val="0"/>
                <w:sz w:val="20"/>
              </w:rPr>
              <w:t>双周</w:t>
            </w:r>
          </w:p>
        </w:tc>
        <w:tc>
          <w:tcPr>
            <w:tcW w:type="dxa" w:w="5953"/>
          </w:tcPr>
          <w:p>
            <w:r/>
            <w:r>
              <w:rPr>
                <w:rFonts w:ascii="宋体" w:hAnsi="宋体" w:eastAsia="宋体"/>
                <w:b w:val="0"/>
                <w:sz w:val="20"/>
              </w:rPr>
              <w:t>指标体系、区域口径、租金/空置/迁徙模型</w:t>
            </w:r>
          </w:p>
        </w:tc>
      </w:tr>
      <w:tr>
        <w:tc>
          <w:tcPr>
            <w:tcW w:type="dxa" w:w="1984"/>
          </w:tcPr>
          <w:p>
            <w:r/>
            <w:r>
              <w:rPr>
                <w:rFonts w:ascii="宋体" w:hAnsi="宋体" w:eastAsia="宋体"/>
                <w:b w:val="0"/>
                <w:sz w:val="20"/>
              </w:rPr>
              <w:t>月度报告选题会</w:t>
            </w:r>
          </w:p>
        </w:tc>
        <w:tc>
          <w:tcPr>
            <w:tcW w:type="dxa" w:w="1134"/>
          </w:tcPr>
          <w:p>
            <w:r/>
            <w:r>
              <w:rPr>
                <w:rFonts w:ascii="宋体" w:hAnsi="宋体" w:eastAsia="宋体"/>
                <w:b w:val="0"/>
                <w:sz w:val="20"/>
              </w:rPr>
              <w:t>月</w:t>
            </w:r>
          </w:p>
        </w:tc>
        <w:tc>
          <w:tcPr>
            <w:tcW w:type="dxa" w:w="5953"/>
          </w:tcPr>
          <w:p>
            <w:r/>
            <w:r>
              <w:rPr>
                <w:rFonts w:ascii="宋体" w:hAnsi="宋体" w:eastAsia="宋体"/>
                <w:b w:val="0"/>
                <w:sz w:val="20"/>
              </w:rPr>
              <w:t>重点区域、重点产业、重点企业迁徙案例、市场热点</w:t>
            </w:r>
          </w:p>
        </w:tc>
      </w:tr>
      <w:tr>
        <w:tc>
          <w:tcPr>
            <w:tcW w:type="dxa" w:w="1984"/>
          </w:tcPr>
          <w:p>
            <w:r/>
            <w:r>
              <w:rPr>
                <w:rFonts w:ascii="宋体" w:hAnsi="宋体" w:eastAsia="宋体"/>
                <w:b w:val="0"/>
                <w:sz w:val="20"/>
              </w:rPr>
              <w:t>季度成果复盘会</w:t>
            </w:r>
          </w:p>
        </w:tc>
        <w:tc>
          <w:tcPr>
            <w:tcW w:type="dxa" w:w="1134"/>
          </w:tcPr>
          <w:p>
            <w:r/>
            <w:r>
              <w:rPr>
                <w:rFonts w:ascii="宋体" w:hAnsi="宋体" w:eastAsia="宋体"/>
                <w:b w:val="0"/>
                <w:sz w:val="20"/>
              </w:rPr>
              <w:t>季度</w:t>
            </w:r>
          </w:p>
        </w:tc>
        <w:tc>
          <w:tcPr>
            <w:tcW w:type="dxa" w:w="5953"/>
          </w:tcPr>
          <w:p>
            <w:r/>
            <w:r>
              <w:rPr>
                <w:rFonts w:ascii="宋体" w:hAnsi="宋体" w:eastAsia="宋体"/>
                <w:b w:val="0"/>
                <w:sz w:val="20"/>
              </w:rPr>
              <w:t>数据准确性、客户反馈、报告结构优化、商业化产品规划</w:t>
            </w:r>
          </w:p>
        </w:tc>
      </w:tr>
    </w:tbl>
    <w:p>
      <w:pPr>
        <w:spacing w:after="120"/>
      </w:pPr>
    </w:p>
    <w:p>
      <w:r>
        <w:br w:type="page"/>
      </w:r>
    </w:p>
    <w:p>
      <w:pPr>
        <w:spacing w:before="360" w:after="200"/>
      </w:pPr>
      <w:r>
        <w:rPr>
          <w:rFonts w:ascii="黑体" w:hAnsi="黑体" w:eastAsia="黑体"/>
          <w:b/>
          <w:color w:val="1F497D"/>
          <w:sz w:val="36"/>
        </w:rPr>
        <w:t>附篇五  首期试点报告落地建议</w:t>
      </w:r>
    </w:p>
    <w:p>
      <w:pPr>
        <w:spacing w:before="240" w:after="120"/>
      </w:pPr>
      <w:r>
        <w:rPr>
          <w:rFonts w:ascii="黑体" w:hAnsi="黑体" w:eastAsia="黑体"/>
          <w:b/>
          <w:color w:val="2F5597"/>
          <w:sz w:val="28"/>
        </w:rPr>
        <w:t>一、首期名称</w:t>
      </w:r>
    </w:p>
    <w:p>
      <w:pPr>
        <w:spacing w:after="80" w:line="360" w:lineRule="auto"/>
        <w:ind w:firstLine="440"/>
      </w:pPr>
      <w:r>
        <w:rPr>
          <w:rFonts w:ascii="宋体" w:hAnsi="宋体" w:eastAsia="宋体"/>
          <w:b w:val="0"/>
          <w:sz w:val="22"/>
        </w:rPr>
        <w:t>《上海中心城区商办楼宇与产业园区市场试点报告》；或：《上海中心城区商办与产业空间供需格局及企业迁徙研究》。</w:t>
      </w:r>
    </w:p>
    <w:p>
      <w:pPr>
        <w:spacing w:before="240" w:after="120"/>
      </w:pPr>
      <w:r>
        <w:rPr>
          <w:rFonts w:ascii="黑体" w:hAnsi="黑体" w:eastAsia="黑体"/>
          <w:b/>
          <w:color w:val="2F5597"/>
          <w:sz w:val="28"/>
        </w:rPr>
        <w:t>二、首期覆盖范围（七大中心城区）</w:t>
      </w:r>
    </w:p>
    <w:p>
      <w:pPr>
        <w:spacing w:after="80" w:line="360" w:lineRule="auto"/>
        <w:ind w:firstLine="440"/>
      </w:pPr>
      <w:r>
        <w:rPr>
          <w:rFonts w:ascii="宋体" w:hAnsi="宋体" w:eastAsia="宋体"/>
          <w:b w:val="0"/>
          <w:sz w:val="22"/>
        </w:rPr>
        <w:t>黄浦、静安、徐汇、长宁、普陀、虹口、杨浦。</w:t>
      </w:r>
    </w:p>
    <w:p>
      <w:pPr>
        <w:spacing w:before="240" w:after="120"/>
      </w:pPr>
      <w:r>
        <w:rPr>
          <w:rFonts w:ascii="黑体" w:hAnsi="黑体" w:eastAsia="黑体"/>
          <w:b/>
          <w:color w:val="2F5597"/>
          <w:sz w:val="28"/>
        </w:rPr>
        <w:t>三、首期目录建议</w:t>
      </w:r>
    </w:p>
    <w:p>
      <w:pPr>
        <w:spacing w:before="160" w:after="80"/>
      </w:pPr>
      <w:r>
        <w:rPr>
          <w:rFonts w:ascii="黑体" w:hAnsi="黑体" w:eastAsia="黑体"/>
          <w:b/>
          <w:color w:val="4472C4"/>
          <w:sz w:val="24"/>
        </w:rPr>
        <w:t>第一章  中心城区商办与产业载体市场概览</w:t>
      </w:r>
    </w:p>
    <w:p>
      <w:pPr>
        <w:pStyle w:val="ListBullet"/>
        <w:spacing w:line="324" w:lineRule="auto"/>
        <w:ind w:left="454"/>
      </w:pPr>
      <w:r/>
      <w:r>
        <w:rPr>
          <w:rFonts w:ascii="宋体" w:hAnsi="宋体" w:eastAsia="宋体"/>
          <w:b w:val="0"/>
          <w:sz w:val="22"/>
        </w:rPr>
        <w:t>七区载体总量；七区存量面积；七区租金水平；七区空置水平；七区主导产业。</w:t>
      </w:r>
    </w:p>
    <w:p>
      <w:pPr>
        <w:spacing w:before="160" w:after="80"/>
      </w:pPr>
      <w:r>
        <w:rPr>
          <w:rFonts w:ascii="黑体" w:hAnsi="黑体" w:eastAsia="黑体"/>
          <w:b/>
          <w:color w:val="4472C4"/>
          <w:sz w:val="24"/>
        </w:rPr>
        <w:t>第二章  重点区域供给格局</w:t>
      </w:r>
    </w:p>
    <w:p>
      <w:pPr>
        <w:pStyle w:val="ListBullet"/>
        <w:spacing w:line="324" w:lineRule="auto"/>
        <w:ind w:left="454"/>
      </w:pPr>
      <w:r/>
      <w:r>
        <w:rPr>
          <w:rFonts w:ascii="宋体" w:hAnsi="宋体" w:eastAsia="宋体"/>
          <w:b w:val="0"/>
          <w:sz w:val="22"/>
        </w:rPr>
        <w:t>黄浦：传统商务、金融服务和专业服务；</w:t>
      </w:r>
    </w:p>
    <w:p>
      <w:pPr>
        <w:pStyle w:val="ListBullet"/>
        <w:spacing w:line="324" w:lineRule="auto"/>
        <w:ind w:left="454"/>
      </w:pPr>
      <w:r/>
      <w:r>
        <w:rPr>
          <w:rFonts w:ascii="宋体" w:hAnsi="宋体" w:eastAsia="宋体"/>
          <w:b w:val="0"/>
          <w:sz w:val="22"/>
        </w:rPr>
        <w:t>静安：高端商务、总部经济和消费服务；</w:t>
      </w:r>
    </w:p>
    <w:p>
      <w:pPr>
        <w:pStyle w:val="ListBullet"/>
        <w:spacing w:line="324" w:lineRule="auto"/>
        <w:ind w:left="454"/>
      </w:pPr>
      <w:r/>
      <w:r>
        <w:rPr>
          <w:rFonts w:ascii="宋体" w:hAnsi="宋体" w:eastAsia="宋体"/>
          <w:b w:val="0"/>
          <w:sz w:val="22"/>
        </w:rPr>
        <w:t>徐汇：AI、数字经济、传媒和滨江总部；</w:t>
      </w:r>
    </w:p>
    <w:p>
      <w:pPr>
        <w:pStyle w:val="ListBullet"/>
        <w:spacing w:line="324" w:lineRule="auto"/>
        <w:ind w:left="454"/>
      </w:pPr>
      <w:r/>
      <w:r>
        <w:rPr>
          <w:rFonts w:ascii="宋体" w:hAnsi="宋体" w:eastAsia="宋体"/>
          <w:b w:val="0"/>
          <w:sz w:val="22"/>
        </w:rPr>
        <w:t>长宁：虹桥商务、涉外商务和数字贸易；</w:t>
      </w:r>
    </w:p>
    <w:p>
      <w:pPr>
        <w:pStyle w:val="ListBullet"/>
        <w:spacing w:line="324" w:lineRule="auto"/>
        <w:ind w:left="454"/>
      </w:pPr>
      <w:r/>
      <w:r>
        <w:rPr>
          <w:rFonts w:ascii="宋体" w:hAnsi="宋体" w:eastAsia="宋体"/>
          <w:b w:val="0"/>
          <w:sz w:val="22"/>
        </w:rPr>
        <w:t>普陀：数字经济、城市更新和新兴商务载体；</w:t>
      </w:r>
    </w:p>
    <w:p>
      <w:pPr>
        <w:pStyle w:val="ListBullet"/>
        <w:spacing w:line="324" w:lineRule="auto"/>
        <w:ind w:left="454"/>
      </w:pPr>
      <w:r/>
      <w:r>
        <w:rPr>
          <w:rFonts w:ascii="宋体" w:hAnsi="宋体" w:eastAsia="宋体"/>
          <w:b w:val="0"/>
          <w:sz w:val="22"/>
        </w:rPr>
        <w:t>虹口：北外滩金融、航运和总部办公；</w:t>
      </w:r>
    </w:p>
    <w:p>
      <w:pPr>
        <w:pStyle w:val="ListBullet"/>
        <w:spacing w:line="324" w:lineRule="auto"/>
        <w:ind w:left="454"/>
      </w:pPr>
      <w:r/>
      <w:r>
        <w:rPr>
          <w:rFonts w:ascii="宋体" w:hAnsi="宋体" w:eastAsia="宋体"/>
          <w:b w:val="0"/>
          <w:sz w:val="22"/>
        </w:rPr>
        <w:t>杨浦：在线新经济、AI、科创服务和高校资源转化。</w:t>
      </w:r>
    </w:p>
    <w:p>
      <w:pPr>
        <w:spacing w:before="160" w:after="80"/>
      </w:pPr>
      <w:r>
        <w:rPr>
          <w:rFonts w:ascii="黑体" w:hAnsi="黑体" w:eastAsia="黑体"/>
          <w:b/>
          <w:color w:val="4472C4"/>
          <w:sz w:val="24"/>
        </w:rPr>
        <w:t>第三章  租金、空置与市场分化</w:t>
      </w:r>
    </w:p>
    <w:p>
      <w:pPr>
        <w:pStyle w:val="ListBullet"/>
        <w:spacing w:line="324" w:lineRule="auto"/>
        <w:ind w:left="454"/>
      </w:pPr>
      <w:r/>
      <w:r>
        <w:rPr>
          <w:rFonts w:ascii="宋体" w:hAnsi="宋体" w:eastAsia="宋体"/>
          <w:b w:val="0"/>
          <w:sz w:val="22"/>
        </w:rPr>
        <w:t>各区租金对比；各区空置率对比；</w:t>
      </w:r>
    </w:p>
    <w:p>
      <w:pPr>
        <w:pStyle w:val="ListBullet"/>
        <w:spacing w:line="324" w:lineRule="auto"/>
        <w:ind w:left="454"/>
      </w:pPr>
      <w:r/>
      <w:r>
        <w:rPr>
          <w:rFonts w:ascii="宋体" w:hAnsi="宋体" w:eastAsia="宋体"/>
          <w:b w:val="0"/>
          <w:sz w:val="22"/>
        </w:rPr>
        <w:t>核心板块与非核心板块分化；</w:t>
      </w:r>
    </w:p>
    <w:p>
      <w:pPr>
        <w:pStyle w:val="ListBullet"/>
        <w:spacing w:line="324" w:lineRule="auto"/>
        <w:ind w:left="454"/>
      </w:pPr>
      <w:r/>
      <w:r>
        <w:rPr>
          <w:rFonts w:ascii="宋体" w:hAnsi="宋体" w:eastAsia="宋体"/>
          <w:b w:val="0"/>
          <w:sz w:val="22"/>
        </w:rPr>
        <w:t>写字楼与产业园区分化；老旧载体压力分析。</w:t>
      </w:r>
    </w:p>
    <w:p>
      <w:pPr>
        <w:spacing w:before="160" w:after="80"/>
      </w:pPr>
      <w:r>
        <w:rPr>
          <w:rFonts w:ascii="黑体" w:hAnsi="黑体" w:eastAsia="黑体"/>
          <w:b/>
          <w:color w:val="4472C4"/>
          <w:sz w:val="24"/>
        </w:rPr>
        <w:t>第四章  企业需求和入驻画像</w:t>
      </w:r>
    </w:p>
    <w:p>
      <w:pPr>
        <w:pStyle w:val="ListBullet"/>
        <w:spacing w:line="324" w:lineRule="auto"/>
        <w:ind w:left="454"/>
      </w:pPr>
      <w:r/>
      <w:r>
        <w:rPr>
          <w:rFonts w:ascii="宋体" w:hAnsi="宋体" w:eastAsia="宋体"/>
          <w:b w:val="0"/>
          <w:sz w:val="22"/>
        </w:rPr>
        <w:t>行业分布；企业规模；空间需求；租金承受能力；重点产业企业分布。</w:t>
      </w:r>
    </w:p>
    <w:p>
      <w:pPr>
        <w:spacing w:before="160" w:after="80"/>
      </w:pPr>
      <w:r>
        <w:rPr>
          <w:rFonts w:ascii="黑体" w:hAnsi="黑体" w:eastAsia="黑体"/>
          <w:b/>
          <w:color w:val="4472C4"/>
          <w:sz w:val="24"/>
        </w:rPr>
        <w:t>第五章  企业迁徙和区域流动</w:t>
      </w:r>
    </w:p>
    <w:p>
      <w:pPr>
        <w:pStyle w:val="ListBullet"/>
        <w:spacing w:line="324" w:lineRule="auto"/>
        <w:ind w:left="454"/>
      </w:pPr>
      <w:r/>
      <w:r>
        <w:rPr>
          <w:rFonts w:ascii="宋体" w:hAnsi="宋体" w:eastAsia="宋体"/>
          <w:b w:val="0"/>
          <w:sz w:val="22"/>
        </w:rPr>
        <w:t>企业净流入区域；企业流出区域；降本型、升级型、产业集聚型迁移。</w:t>
      </w:r>
    </w:p>
    <w:p>
      <w:pPr>
        <w:spacing w:before="160" w:after="80"/>
      </w:pPr>
      <w:r>
        <w:rPr>
          <w:rFonts w:ascii="黑体" w:hAnsi="黑体" w:eastAsia="黑体"/>
          <w:b/>
          <w:color w:val="4472C4"/>
          <w:sz w:val="24"/>
        </w:rPr>
        <w:t>第六章  重点板块招商机会</w:t>
      </w:r>
    </w:p>
    <w:p>
      <w:pPr>
        <w:pStyle w:val="ListBullet"/>
        <w:spacing w:line="324" w:lineRule="auto"/>
        <w:ind w:left="454"/>
      </w:pPr>
      <w:r/>
      <w:r>
        <w:rPr>
          <w:rFonts w:ascii="宋体" w:hAnsi="宋体" w:eastAsia="宋体"/>
          <w:b w:val="0"/>
          <w:sz w:val="22"/>
        </w:rPr>
        <w:t>徐汇滨江、北外滩、杨浦滨江、五角场、苏河湾、长宁虹桥、普陀真如。</w:t>
      </w:r>
    </w:p>
    <w:p>
      <w:pPr>
        <w:spacing w:before="160" w:after="80"/>
      </w:pPr>
      <w:r>
        <w:rPr>
          <w:rFonts w:ascii="黑体" w:hAnsi="黑体" w:eastAsia="黑体"/>
          <w:b/>
          <w:color w:val="4472C4"/>
          <w:sz w:val="24"/>
        </w:rPr>
        <w:t>第七章  市场趋势与策略建议</w:t>
      </w:r>
    </w:p>
    <w:p>
      <w:pPr>
        <w:pStyle w:val="ListBullet"/>
        <w:spacing w:line="324" w:lineRule="auto"/>
        <w:ind w:left="454"/>
      </w:pPr>
      <w:r/>
      <w:r>
        <w:rPr>
          <w:rFonts w:ascii="宋体" w:hAnsi="宋体" w:eastAsia="宋体"/>
          <w:b w:val="0"/>
          <w:sz w:val="22"/>
        </w:rPr>
        <w:t>租金趋势；空置趋势；产业需求趋势；</w:t>
      </w:r>
    </w:p>
    <w:p>
      <w:pPr>
        <w:pStyle w:val="ListBullet"/>
        <w:spacing w:line="324" w:lineRule="auto"/>
        <w:ind w:left="454"/>
      </w:pPr>
      <w:r/>
      <w:r>
        <w:rPr>
          <w:rFonts w:ascii="宋体" w:hAnsi="宋体" w:eastAsia="宋体"/>
          <w:b w:val="0"/>
          <w:sz w:val="22"/>
        </w:rPr>
        <w:t>政府招商建议；楼宇运营建议；资产调价建议。</w:t>
      </w:r>
    </w:p>
    <w:p>
      <w:r>
        <w:br w:type="page"/>
      </w:r>
    </w:p>
    <w:p>
      <w:pPr>
        <w:spacing w:before="360" w:after="200"/>
      </w:pPr>
      <w:r>
        <w:rPr>
          <w:rFonts w:ascii="黑体" w:hAnsi="黑体" w:eastAsia="黑体"/>
          <w:b/>
          <w:color w:val="1F497D"/>
          <w:sz w:val="36"/>
        </w:rPr>
        <w:t>附篇六  关键难点与解决方案</w:t>
      </w:r>
    </w:p>
    <w:p>
      <w:pPr>
        <w:spacing w:before="240" w:after="120"/>
      </w:pPr>
      <w:r>
        <w:rPr>
          <w:rFonts w:ascii="黑体" w:hAnsi="黑体" w:eastAsia="黑体"/>
          <w:b/>
          <w:color w:val="2F5597"/>
          <w:sz w:val="28"/>
        </w:rPr>
        <w:t>难点一：实际办公地址难以准确识别</w:t>
      </w:r>
    </w:p>
    <w:p>
      <w:pPr>
        <w:spacing w:after="80" w:line="360" w:lineRule="auto"/>
        <w:ind w:firstLine="440"/>
      </w:pPr>
      <w:r>
        <w:rPr>
          <w:rFonts w:ascii="宋体" w:hAnsi="宋体" w:eastAsia="宋体"/>
          <w:b w:val="0"/>
          <w:sz w:val="22"/>
        </w:rPr>
        <w:t>工商注册地址 + 地图POI + 招聘地址 + 企业官网 + 公众号公告 + 楼宇水牌 + 物业访谈 + 实地确认，多源交叉校验，避免将注册地址误认为实际办公地址。</w:t>
      </w:r>
    </w:p>
    <w:p>
      <w:pPr>
        <w:spacing w:before="240" w:after="120"/>
      </w:pPr>
      <w:r>
        <w:rPr>
          <w:rFonts w:ascii="黑体" w:hAnsi="黑体" w:eastAsia="黑体"/>
          <w:b/>
          <w:color w:val="2F5597"/>
          <w:sz w:val="28"/>
        </w:rPr>
        <w:t>难点二：成交租金数据难获取</w:t>
      </w:r>
    </w:p>
    <w:p>
      <w:pPr>
        <w:spacing w:after="80" w:line="360" w:lineRule="auto"/>
        <w:ind w:firstLine="440"/>
      </w:pPr>
      <w:r>
        <w:rPr>
          <w:rFonts w:ascii="宋体" w:hAnsi="宋体" w:eastAsia="宋体"/>
          <w:b w:val="0"/>
          <w:sz w:val="22"/>
        </w:rPr>
        <w:t>挂牌租金作为基础参考；中介报价作为市场校准；真实成交作为核心依据；通过物业访谈、经纪人访谈、企业访谈积累成交数据库；报告中明确区分报价租金与成交租金。</w:t>
      </w:r>
    </w:p>
    <w:p>
      <w:pPr>
        <w:spacing w:before="240" w:after="120"/>
      </w:pPr>
      <w:r>
        <w:rPr>
          <w:rFonts w:ascii="黑体" w:hAnsi="黑体" w:eastAsia="黑体"/>
          <w:b/>
          <w:color w:val="2F5597"/>
          <w:sz w:val="28"/>
        </w:rPr>
        <w:t>难点三：空置率口径不统一</w:t>
      </w:r>
    </w:p>
    <w:p>
      <w:pPr>
        <w:spacing w:after="80" w:line="360" w:lineRule="auto"/>
        <w:ind w:firstLine="440"/>
      </w:pPr>
      <w:r>
        <w:rPr>
          <w:rFonts w:ascii="宋体" w:hAnsi="宋体" w:eastAsia="宋体"/>
          <w:b w:val="0"/>
          <w:sz w:val="22"/>
        </w:rPr>
        <w:t>区分物理空置、招商空置、隐性空置三类；以“招商可租面积”口径为主，物理空置和隐性空置作辅助判断。</w:t>
      </w:r>
    </w:p>
    <w:p>
      <w:pPr>
        <w:spacing w:before="240" w:after="120"/>
      </w:pPr>
      <w:r>
        <w:rPr>
          <w:rFonts w:ascii="黑体" w:hAnsi="黑体" w:eastAsia="黑体"/>
          <w:b/>
          <w:color w:val="2F5597"/>
          <w:sz w:val="28"/>
        </w:rPr>
        <w:t>难点四：企业迁徙存在误判</w:t>
      </w:r>
    </w:p>
    <w:p>
      <w:pPr>
        <w:spacing w:after="80" w:line="360" w:lineRule="auto"/>
        <w:ind w:firstLine="440"/>
      </w:pPr>
      <w:r>
        <w:rPr>
          <w:rFonts w:ascii="宋体" w:hAnsi="宋体" w:eastAsia="宋体"/>
          <w:b w:val="0"/>
          <w:sz w:val="22"/>
        </w:rPr>
        <w:t>迁徙判断至少需要两个以上信号（工商地址变化、招聘地址变化、官网/公众号公告、地图POI、园区入驻新闻、线下确认）。</w:t>
      </w:r>
    </w:p>
    <w:p>
      <w:pPr>
        <w:spacing w:before="240" w:after="120"/>
      </w:pPr>
      <w:r>
        <w:rPr>
          <w:rFonts w:ascii="黑体" w:hAnsi="黑体" w:eastAsia="黑体"/>
          <w:b/>
          <w:color w:val="2F5597"/>
          <w:sz w:val="28"/>
        </w:rPr>
        <w:t>难点五：数据合规</w:t>
      </w:r>
    </w:p>
    <w:p>
      <w:pPr>
        <w:spacing w:after="80" w:line="360" w:lineRule="auto"/>
        <w:ind w:firstLine="440"/>
      </w:pPr>
      <w:r>
        <w:rPr>
          <w:rFonts w:ascii="宋体" w:hAnsi="宋体" w:eastAsia="宋体"/>
          <w:b w:val="0"/>
          <w:sz w:val="22"/>
        </w:rPr>
        <w:t>优先使用公开数据；不采集个人隐私；不采集非公开商业秘密；企业联系方式谨慎处理；以汇总统计与趋势分析为主；对单一企业敏感信息避免未经确认披露；对外发布前进行合规审查。</w:t>
      </w:r>
    </w:p>
    <w:p>
      <w:r>
        <w:br w:type="page"/>
      </w:r>
    </w:p>
    <w:p>
      <w:pPr>
        <w:spacing w:before="360" w:after="200"/>
      </w:pPr>
      <w:r>
        <w:rPr>
          <w:rFonts w:ascii="黑体" w:hAnsi="黑体" w:eastAsia="黑体"/>
          <w:b/>
          <w:color w:val="1F497D"/>
          <w:sz w:val="36"/>
        </w:rPr>
        <w:t>附篇七  最终成果包与商业化产品矩阵</w:t>
      </w:r>
    </w:p>
    <w:tbl>
      <w:tblPr>
        <w:tblStyle w:val="LightGrid-Accent1"/>
        <w:tblW w:type="auto" w:w="0"/>
        <w:jc w:val="center"/>
        <w:tblLook w:firstColumn="1" w:firstRow="1" w:lastColumn="0" w:lastRow="0" w:noHBand="0" w:noVBand="1" w:val="04A0"/>
      </w:tblPr>
      <w:tblGrid>
        <w:gridCol w:w="3097"/>
        <w:gridCol w:w="3097"/>
        <w:gridCol w:w="3097"/>
      </w:tblGrid>
      <w:tr>
        <w:tc>
          <w:tcPr>
            <w:tcW w:type="dxa" w:w="1701"/>
            <w:shd w:fill="1F4E79"/>
          </w:tcPr>
          <w:p>
            <w:pPr>
              <w:jc w:val="center"/>
            </w:pPr>
            <w:r/>
            <w:r>
              <w:rPr>
                <w:rFonts w:ascii="黑体" w:hAnsi="黑体" w:eastAsia="黑体"/>
                <w:b/>
                <w:color w:val="FFFFFF"/>
                <w:sz w:val="20"/>
              </w:rPr>
              <w:t>类别</w:t>
            </w:r>
          </w:p>
        </w:tc>
        <w:tc>
          <w:tcPr>
            <w:tcW w:type="dxa" w:w="4252"/>
            <w:shd w:fill="1F4E79"/>
          </w:tcPr>
          <w:p>
            <w:pPr>
              <w:jc w:val="center"/>
            </w:pPr>
            <w:r/>
            <w:r>
              <w:rPr>
                <w:rFonts w:ascii="黑体" w:hAnsi="黑体" w:eastAsia="黑体"/>
                <w:b/>
                <w:color w:val="FFFFFF"/>
                <w:sz w:val="20"/>
              </w:rPr>
              <w:t>成果</w:t>
            </w:r>
          </w:p>
        </w:tc>
        <w:tc>
          <w:tcPr>
            <w:tcW w:type="dxa" w:w="3118"/>
            <w:shd w:fill="1F4E79"/>
          </w:tcPr>
          <w:p>
            <w:pPr>
              <w:jc w:val="center"/>
            </w:pPr>
            <w:r/>
            <w:r>
              <w:rPr>
                <w:rFonts w:ascii="黑体" w:hAnsi="黑体" w:eastAsia="黑体"/>
                <w:b/>
                <w:color w:val="FFFFFF"/>
                <w:sz w:val="20"/>
              </w:rPr>
              <w:t>用途与对象</w:t>
            </w:r>
          </w:p>
        </w:tc>
      </w:tr>
      <w:tr>
        <w:tc>
          <w:tcPr>
            <w:tcW w:type="dxa" w:w="1701"/>
          </w:tcPr>
          <w:p>
            <w:r/>
            <w:r>
              <w:rPr>
                <w:rFonts w:ascii="宋体" w:hAnsi="宋体" w:eastAsia="宋体"/>
                <w:b w:val="0"/>
                <w:sz w:val="20"/>
              </w:rPr>
              <w:t>主报告</w:t>
            </w:r>
          </w:p>
        </w:tc>
        <w:tc>
          <w:tcPr>
            <w:tcW w:type="dxa" w:w="4252"/>
          </w:tcPr>
          <w:p>
            <w:r/>
            <w:r>
              <w:rPr>
                <w:rFonts w:ascii="宋体" w:hAnsi="宋体" w:eastAsia="宋体"/>
                <w:b w:val="0"/>
                <w:sz w:val="20"/>
              </w:rPr>
              <w:t>《上海商办楼宇与产业园区市场深度报告》</w:t>
            </w:r>
          </w:p>
        </w:tc>
        <w:tc>
          <w:tcPr>
            <w:tcW w:type="dxa" w:w="3118"/>
          </w:tcPr>
          <w:p>
            <w:r/>
            <w:r>
              <w:rPr>
                <w:rFonts w:ascii="宋体" w:hAnsi="宋体" w:eastAsia="宋体"/>
                <w:b w:val="0"/>
                <w:sz w:val="20"/>
              </w:rPr>
              <w:t>联合发布、行业传播、政策建议</w:t>
            </w:r>
          </w:p>
        </w:tc>
      </w:tr>
      <w:tr>
        <w:tc>
          <w:tcPr>
            <w:tcW w:type="dxa" w:w="1701"/>
          </w:tcPr>
          <w:p>
            <w:r/>
            <w:r>
              <w:rPr>
                <w:rFonts w:ascii="宋体" w:hAnsi="宋体" w:eastAsia="宋体"/>
                <w:b w:val="0"/>
                <w:sz w:val="20"/>
              </w:rPr>
              <w:t>数据附录</w:t>
            </w:r>
          </w:p>
        </w:tc>
        <w:tc>
          <w:tcPr>
            <w:tcW w:type="dxa" w:w="4252"/>
          </w:tcPr>
          <w:p>
            <w:r/>
            <w:r>
              <w:rPr>
                <w:rFonts w:ascii="宋体" w:hAnsi="宋体" w:eastAsia="宋体"/>
                <w:b w:val="0"/>
                <w:sz w:val="20"/>
              </w:rPr>
              <w:t>楼宇/园区清单、区域指标表、产业企业分布表、租金空置表、迁徙样本表</w:t>
            </w:r>
          </w:p>
        </w:tc>
        <w:tc>
          <w:tcPr>
            <w:tcW w:type="dxa" w:w="3118"/>
          </w:tcPr>
          <w:p>
            <w:r/>
            <w:r>
              <w:rPr>
                <w:rFonts w:ascii="宋体" w:hAnsi="宋体" w:eastAsia="宋体"/>
                <w:b w:val="0"/>
                <w:sz w:val="20"/>
              </w:rPr>
              <w:t>数据透明披露、合作方对接</w:t>
            </w:r>
          </w:p>
        </w:tc>
      </w:tr>
      <w:tr>
        <w:tc>
          <w:tcPr>
            <w:tcW w:type="dxa" w:w="1701"/>
          </w:tcPr>
          <w:p>
            <w:r/>
            <w:r>
              <w:rPr>
                <w:rFonts w:ascii="宋体" w:hAnsi="宋体" w:eastAsia="宋体"/>
                <w:b w:val="0"/>
                <w:sz w:val="20"/>
              </w:rPr>
              <w:t>可视化图册</w:t>
            </w:r>
          </w:p>
        </w:tc>
        <w:tc>
          <w:tcPr>
            <w:tcW w:type="dxa" w:w="4252"/>
          </w:tcPr>
          <w:p>
            <w:r/>
            <w:r>
              <w:rPr>
                <w:rFonts w:ascii="宋体" w:hAnsi="宋体" w:eastAsia="宋体"/>
                <w:b w:val="0"/>
                <w:sz w:val="20"/>
              </w:rPr>
              <w:t>楼宇/园区分布图、租金与空置热力图、企业迁徙流向图、产业集聚图、重点板块对比图、招商机会地图</w:t>
            </w:r>
          </w:p>
        </w:tc>
        <w:tc>
          <w:tcPr>
            <w:tcW w:type="dxa" w:w="3118"/>
          </w:tcPr>
          <w:p>
            <w:r/>
            <w:r>
              <w:rPr>
                <w:rFonts w:ascii="宋体" w:hAnsi="宋体" w:eastAsia="宋体"/>
                <w:b w:val="0"/>
                <w:sz w:val="20"/>
              </w:rPr>
              <w:t>汇报、传播、政府决策</w:t>
            </w:r>
          </w:p>
        </w:tc>
      </w:tr>
      <w:tr>
        <w:tc>
          <w:tcPr>
            <w:tcW w:type="dxa" w:w="1701"/>
          </w:tcPr>
          <w:p>
            <w:r/>
            <w:r>
              <w:rPr>
                <w:rFonts w:ascii="宋体" w:hAnsi="宋体" w:eastAsia="宋体"/>
                <w:b w:val="0"/>
                <w:sz w:val="20"/>
              </w:rPr>
              <w:t>PPT汇报版</w:t>
            </w:r>
          </w:p>
        </w:tc>
        <w:tc>
          <w:tcPr>
            <w:tcW w:type="dxa" w:w="4252"/>
          </w:tcPr>
          <w:p>
            <w:r/>
            <w:r>
              <w:rPr>
                <w:rFonts w:ascii="宋体" w:hAnsi="宋体" w:eastAsia="宋体"/>
                <w:b w:val="0"/>
                <w:sz w:val="20"/>
              </w:rPr>
              <w:t>简版30页 / 标准版50页 / 深度版80+页</w:t>
            </w:r>
          </w:p>
        </w:tc>
        <w:tc>
          <w:tcPr>
            <w:tcW w:type="dxa" w:w="3118"/>
          </w:tcPr>
          <w:p>
            <w:r/>
            <w:r>
              <w:rPr>
                <w:rFonts w:ascii="宋体" w:hAnsi="宋体" w:eastAsia="宋体"/>
                <w:b w:val="0"/>
                <w:sz w:val="20"/>
              </w:rPr>
              <w:t>政府、园区、楼宇、资产方汇报</w:t>
            </w:r>
          </w:p>
        </w:tc>
      </w:tr>
      <w:tr>
        <w:tc>
          <w:tcPr>
            <w:tcW w:type="dxa" w:w="1701"/>
          </w:tcPr>
          <w:p>
            <w:r/>
            <w:r>
              <w:rPr>
                <w:rFonts w:ascii="宋体" w:hAnsi="宋体" w:eastAsia="宋体"/>
                <w:b w:val="0"/>
                <w:sz w:val="20"/>
              </w:rPr>
              <w:t>数据看板</w:t>
            </w:r>
          </w:p>
        </w:tc>
        <w:tc>
          <w:tcPr>
            <w:tcW w:type="dxa" w:w="4252"/>
          </w:tcPr>
          <w:p>
            <w:r/>
            <w:r>
              <w:rPr>
                <w:rFonts w:ascii="宋体" w:hAnsi="宋体" w:eastAsia="宋体"/>
                <w:b w:val="0"/>
                <w:sz w:val="20"/>
              </w:rPr>
              <w:t>区域市场看板、楼宇园区看板、企业迁徙看板、产业热度看板、招商线索看板</w:t>
            </w:r>
          </w:p>
        </w:tc>
        <w:tc>
          <w:tcPr>
            <w:tcW w:type="dxa" w:w="3118"/>
          </w:tcPr>
          <w:p>
            <w:r/>
            <w:r>
              <w:rPr>
                <w:rFonts w:ascii="宋体" w:hAnsi="宋体" w:eastAsia="宋体"/>
                <w:b w:val="0"/>
                <w:sz w:val="20"/>
              </w:rPr>
              <w:t>持续监测与商业化输出</w:t>
            </w:r>
          </w:p>
        </w:tc>
      </w:tr>
      <w:tr>
        <w:tc>
          <w:tcPr>
            <w:tcW w:type="dxa" w:w="1701"/>
          </w:tcPr>
          <w:p>
            <w:r/>
            <w:r>
              <w:rPr>
                <w:rFonts w:ascii="宋体" w:hAnsi="宋体" w:eastAsia="宋体"/>
                <w:b w:val="0"/>
                <w:sz w:val="20"/>
              </w:rPr>
              <w:t>延伸产品</w:t>
            </w:r>
          </w:p>
        </w:tc>
        <w:tc>
          <w:tcPr>
            <w:tcW w:type="dxa" w:w="4252"/>
          </w:tcPr>
          <w:p>
            <w:r/>
            <w:r>
              <w:rPr>
                <w:rFonts w:ascii="宋体" w:hAnsi="宋体" w:eastAsia="宋体"/>
                <w:b w:val="0"/>
                <w:sz w:val="20"/>
              </w:rPr>
              <w:t>月度简报、季度报告、年度白皮书、区域专项、楼宇/园区诊断、企业选址服务</w:t>
            </w:r>
          </w:p>
        </w:tc>
        <w:tc>
          <w:tcPr>
            <w:tcW w:type="dxa" w:w="3118"/>
          </w:tcPr>
          <w:p>
            <w:r/>
            <w:r>
              <w:rPr>
                <w:rFonts w:ascii="宋体" w:hAnsi="宋体" w:eastAsia="宋体"/>
                <w:b w:val="0"/>
                <w:sz w:val="20"/>
              </w:rPr>
              <w:t>长期产品体系与商业化</w:t>
            </w:r>
          </w:p>
        </w:tc>
      </w:tr>
    </w:tbl>
    <w:p>
      <w:pPr>
        <w:spacing w:after="120"/>
      </w:pPr>
    </w:p>
    <w:p>
      <w:r>
        <w:br w:type="page"/>
      </w:r>
    </w:p>
    <w:p>
      <w:pPr>
        <w:spacing w:before="360" w:after="200"/>
      </w:pPr>
      <w:r>
        <w:rPr>
          <w:rFonts w:ascii="黑体" w:hAnsi="黑体" w:eastAsia="黑体"/>
          <w:b/>
          <w:color w:val="1F497D"/>
          <w:sz w:val="36"/>
        </w:rPr>
        <w:t>结语  研究价值与长期愿景</w:t>
      </w:r>
    </w:p>
    <w:p>
      <w:pPr>
        <w:spacing w:after="80" w:line="360" w:lineRule="auto"/>
        <w:ind w:firstLine="440"/>
      </w:pPr>
      <w:r>
        <w:rPr>
          <w:rFonts w:ascii="宋体" w:hAnsi="宋体" w:eastAsia="宋体"/>
          <w:b w:val="0"/>
          <w:sz w:val="22"/>
        </w:rPr>
        <w:t>本报告拟由易居研究院与复旦大学住房政策研究中心联合研发，围绕上海商办楼宇与产业园区市场的全域空间供给、企业需求变化、租赁价格体系、企业迁徙路径、产业集聚规律和资产运营策略展开系统研究。</w:t>
      </w:r>
    </w:p>
    <w:p>
      <w:pPr>
        <w:spacing w:after="80" w:line="360" w:lineRule="auto"/>
        <w:ind w:firstLine="440"/>
      </w:pPr>
      <w:r>
        <w:rPr>
          <w:rFonts w:ascii="宋体" w:hAnsi="宋体" w:eastAsia="宋体"/>
          <w:b w:val="0"/>
          <w:sz w:val="22"/>
        </w:rPr>
        <w:t>与传统聚焦核心商务区甲级写字楼的市场报告不同，本报告将研究视角下沉至行政区、街道、楼宇、园区和企业层面，重点构建“空间载体—入驻企业—产业标签—租赁行为—迁徙趋势—招商机会”的一体化研究框架，力求真实反映上海商办和产业空间市场的供需格局与运行逻辑。</w:t>
      </w:r>
    </w:p>
    <w:p>
      <w:pPr>
        <w:spacing w:after="80" w:line="360" w:lineRule="auto"/>
        <w:ind w:firstLine="440"/>
      </w:pPr>
      <w:r>
        <w:rPr>
          <w:rFonts w:ascii="宋体" w:hAnsi="宋体" w:eastAsia="宋体"/>
          <w:b w:val="0"/>
          <w:sz w:val="22"/>
        </w:rPr>
        <w:t>报告成果不仅可为政府部门制定产业空间政策、推进城市更新、开展精准招商提供决策依据，也可为楼宇园区运营方、资产持有方、投资机构和企业选址方提供可执行的数据支撑和市场判断。通过持续研发和动态更新，该报告有望成为上海商办楼宇与产业园区市场的长期观察工具、行业标准化研究样本和城市空间治理决策参考。</w:t>
      </w:r>
    </w:p>
    <w:p>
      <w:pPr>
        <w:spacing w:after="80" w:line="360" w:lineRule="auto"/>
        <w:ind w:firstLine="440"/>
      </w:pPr>
      <w:r>
        <w:rPr>
          <w:rFonts w:ascii="宋体" w:hAnsi="宋体" w:eastAsia="宋体"/>
          <w:b w:val="0"/>
          <w:sz w:val="22"/>
        </w:rPr>
        <w:t xml:space="preserve"> </w:t>
      </w:r>
    </w:p>
    <w:p>
      <w:pPr>
        <w:spacing w:after="80" w:line="360" w:lineRule="auto"/>
      </w:pPr>
      <w:r>
        <w:rPr>
          <w:rFonts w:ascii="宋体" w:hAnsi="宋体" w:eastAsia="宋体"/>
          <w:b w:val="0"/>
          <w:sz w:val="22"/>
        </w:rPr>
        <w:t>（讨论稿 · 仅供内部研讨使用）</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