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微软雅黑" w:hAnsi="微软雅黑" w:eastAsia="微软雅黑"/>
          <w:b/>
          <w:color w:val="142C5E"/>
          <w:sz w:val="44"/>
        </w:rPr>
        <w:t>上 海 市 科 技 企 业 联 合 会</w:t>
      </w:r>
      <w:r>
        <w:br/>
      </w:r>
      <w:r>
        <w:rPr>
          <w:rFonts w:ascii="微软雅黑" w:hAnsi="微软雅黑" w:eastAsia="微软雅黑"/>
          <w:b/>
          <w:color w:val="142C5E"/>
          <w:sz w:val="44"/>
        </w:rPr>
        <w:t>合 作 服 务 方 案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2"/>
        </w:rPr>
        <w:t>Shanghai Science &amp; Technology Enterprise Association — Cooperation Service Plan</w:t>
      </w:r>
    </w:p>
    <w:p>
      <w:pPr>
        <w:spacing w:before="560"/>
        <w:jc w:val="center"/>
      </w:pPr>
      <w:r>
        <w:rPr>
          <w:rFonts w:ascii="微软雅黑" w:hAnsi="微软雅黑" w:eastAsia="微软雅黑"/>
          <w:b w:val="0"/>
          <w:sz w:val="22"/>
        </w:rPr>
        <w:t>版本:v1.0</w:t>
      </w:r>
      <w:r>
        <w:br/>
      </w:r>
      <w:r>
        <w:rPr>
          <w:rFonts w:ascii="微软雅黑" w:hAnsi="微软雅黑" w:eastAsia="微软雅黑"/>
          <w:b w:val="0"/>
          <w:sz w:val="22"/>
        </w:rPr>
        <w:t>起草方:胡教授团队</w:t>
      </w:r>
      <w:r>
        <w:br/>
      </w:r>
      <w:r>
        <w:rPr>
          <w:rFonts w:ascii="微软雅黑" w:hAnsi="微软雅黑" w:eastAsia="微软雅黑"/>
          <w:b w:val="0"/>
          <w:sz w:val="22"/>
        </w:rPr>
        <w:t>签署日期:__________ 年 ____ 月 ____ 日</w:t>
      </w:r>
      <w:r>
        <w:br/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993333"/>
          <w:sz w:val="20"/>
        </w:rPr>
        <w:t>本方案为商务洽谈核心条款描述,不构成最终法律约束力的合作合同,最终以双方法务确认并签署的正式协议文本为准。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一、合作主体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708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甲方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上海市科技企业联合会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乙方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胡教授团队(具体合作主体以双方书面确认为准)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二、服务内容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1. 科技企业服务中心建设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建设目标:协助甲方落地"科技企业服务中心"实体平台或品牌化运营场所,作为甲方产业服务能力对外输出的统一窗口。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核心工作: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(1) 中心定位、功能模块、空间动线与服务清单的总体规划设计;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(2) 服务体系搭建 — 含财税、法律、知识产权、政府补贴申报、人才与签证、投融资、品牌公关、数字化工具、培训认证等九大类标准化服务路径;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(3) 中心 VI 与对外品牌识别系统设计支持;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(4) 挂牌仪式策划与对外正式发布;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(5) 首批入驻企业邀约(不少于 20 家科技 / 产业企业)。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交付周期:合同生效后 90 日内完成中心挂牌运营。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配套人员:项目经理 1 人全程驻场 + 兼职专家顾问按需调用。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2. 年度品牌活动执行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活动数量:全年承办 6 场科技主题品牌活动,按季均匀分布、每两个月 1 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单场规模:到场目标产业客户不少于 30 家;目标媒体声量不少于 100 万次曝光。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服务范围:主题策划、议程设计、嘉宾邀约、场地与物料、现场执行、传播投放、政府与协会资源对接、活动后传播复盘。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建议主题矩阵(首年 6 场):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第 1 场:AI 与硬科技商业化落地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第 2 场:潮玩文创与新消费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第 3 场:出海加速(北欧 / 日韩 / 东南亚)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第 4 场:投融资路演与产业基金对接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第 5 场:政策红利解读与补贴申报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第 6 场:ESG / 双碳与产业可持续发展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打包价:全年 6 场合计 24 万元(含场地、物料、嘉宾接待、传播投放等全部直接成本,不另行加收)。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3. 资源对接中介服务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服务内容:为甲方撮合外部产业资源,覆盖企业引进、投融资对接、政府合作、产业链上下游配对等。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结算口径:按实际成功撮合落地的合作基数(元)核算中介服务费。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收费费率:每万元合作基数收取 2 元中介服务费(即 0.02%)。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结算节奏:按月或按项目结算,按实际撮合成果支付,不设保底亦不设上限。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归属保护:乙方提交甲方备案的"对接资源清单"内的客户,自首次接触起 12 个月内成交的,均视为乙方撮合成果。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三、项目报价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819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明细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金额(人民币)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服务中心建设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基础规划、定位设计、挂牌落地、首批入驻企业邀约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6 万元(一次性)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年度活动执行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6 场科技主题品牌活动(打包)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24 万元(年度)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中介服务费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按实际对接合作基数核算(2 元/万元基数)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详见第四部分计算逻辑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基础合计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服务中心 + 年度活动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30 万元 + 中介费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示例总价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 + 2 亿元基数对应中介费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34 万元(示例)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四、补充说明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1. 中介服务费的计算逻辑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计算公式:中介服务费 = 实际对接合作基数(元) ÷ 10,000 × 2 元/万元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示例对照表(仅供参考):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实际对接基数</w:t>
            </w:r>
          </w:p>
        </w:tc>
        <w:tc>
          <w:tcPr>
            <w:tcW w:type="dxa" w:w="45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中介服务费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5,000 万元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 万元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 亿元 (本方案示例)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 万元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 亿元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 万元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 亿元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 万元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 亿元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40 万元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以 2 亿元基数为标的:200,000,000 ÷ 10,000 × 2 = 40,000 元 = 4 万元。该费率(0.02%)远低于市场上常规招商代理费(通常 1-2%),是面向甲方作为长期战略合作伙伴的特别优惠定价。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2. 费用结算节奏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服务中心建设费 6 万元:合同签订后 30 日内一次性支付。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年度活动费 24 万元: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 xml:space="preserve">    方式 A:按季度均分(每季度 6 万元,分 4 次支付);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 xml:space="preserve">    方式 B:单场结算(4 万元/场,活动验收后 15 日内支付)。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中介服务费:按实际撮合落地项目按月汇总结算,月度结算单经甲方书面确认后 15 日内支付。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3. 不重复计费原则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(1) 服务中心建设期间产生的活动,若纳入年度 6 场活动范围内,则不另行加收活动费;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(2) 中介服务费仅针对甲方原未自行对接的新增资源,避免与年度活动撮合成果重复结算;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(3) 同一资源在 12 个月内重复撮合的,仅在首次成交时收取中介费。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4. 未达标退款机制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(1) 服务中心未在 90 日内完成挂牌运营的,已收取的 6 万元按未完成天数比例退还;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(2) 6 场年度活动若到场企业数未达 30 家/场,对应单场活动费扣减 50%;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(3) 中介服务费完全与撮合成果挂钩,不存在未达标情形。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5. 变更与终止条款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(1) 服务期内甲方调整活动频次或服务范围的,由双方协商签订补充协议;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(2) 任何一方提前终止合作的,已发生服务费按履约比例结算;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(3) 中介服务费在合作终止后 12 个月内最终成交的,仍按本方案标准支付(成果归属保护期)。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6. 保密与知识产权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(1) 双方对在合作过程中知悉的对方商业秘密、客户名单、资源清单承担保密义务,保密期自本方案生效之日起至合作终止后 5 年;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(2) 乙方为甲方设计的服务中心 VI、活动主题、传播物料的知识产权归属由双方在合同附件中另行约定。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28"/>
        </w:rPr>
        <w:t>7. 生效条件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本方案经双方法定代表人或授权代表签字盖章后生效;本方案的核心条款将作为正式合作协议的基础文本。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签 署 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甲方:上海市科技企业联合会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乙方:__________(胡教授团队)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法定代表人/授权代表:__________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法定代表人/授权代表:__________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(盖章)　　　 日期:____ 年 ____ 月 ____ 日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(盖章)　　　 日期:____ 年 ____ 月 ____ 日</w:t>
            </w:r>
          </w:p>
        </w:tc>
      </w:tr>
    </w:tbl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