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微软雅黑" w:hAnsi="微软雅黑" w:eastAsia="微软雅黑"/>
          <w:b/>
          <w:color w:val="142C5E"/>
          <w:sz w:val="60"/>
        </w:rPr>
        <w:t>元谷项目 4#+5# 楼 2 万方</w:t>
      </w:r>
      <w:r>
        <w:br/>
      </w:r>
      <w:r>
        <w:rPr>
          <w:rFonts w:ascii="微软雅黑" w:hAnsi="微软雅黑" w:eastAsia="微软雅黑"/>
          <w:b/>
          <w:color w:val="F27E2D"/>
          <w:sz w:val="52"/>
        </w:rPr>
        <w:t>IP + AI 双轨招商策略与排期</w:t>
      </w:r>
      <w:r>
        <w:br/>
      </w:r>
      <w:r>
        <w:rPr>
          <w:rFonts w:ascii="微软雅黑" w:hAnsi="微软雅黑" w:eastAsia="微软雅黑"/>
          <w:b/>
          <w:color w:val="142C5E"/>
          <w:sz w:val="40"/>
        </w:rPr>
        <w:t>文 字 执 行 版</w:t>
      </w:r>
    </w:p>
    <w:p>
      <w:pPr>
        <w:jc w:val="center"/>
      </w:pPr>
      <w:r>
        <w:rPr>
          <w:rFonts w:ascii="微软雅黑" w:hAnsi="微软雅黑" w:eastAsia="微软雅黑"/>
          <w:b w:val="0"/>
          <w:color w:val="55607A"/>
          <w:sz w:val="28"/>
        </w:rPr>
        <w:t>与 PPT 同步的长文本执行手册 · 团队内部派工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55607A"/>
          <w:sz w:val="22"/>
        </w:rPr>
        <w:t>v1.0  ·  2026/6  ·  胡教授团队 × 森马集团</w:t>
      </w:r>
      <w:r>
        <w:br/>
      </w:r>
      <w:r>
        <w:rPr>
          <w:rFonts w:ascii="微软雅黑" w:hAnsi="微软雅黑" w:eastAsia="微软雅黑"/>
          <w:b w:val="0"/>
          <w:color w:val="55607A"/>
          <w:sz w:val="22"/>
        </w:rPr>
        <w:t>本文档与 PPT 内容完全一致, 可作为团队内部派工 / 培训 / 客户深度对话使用</w:t>
      </w:r>
      <w:r>
        <w:br/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目  录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0. 项目背景与战略转向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一、执行摘要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二、项目实测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三、SWOT 分析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四、Phase 1:策略与定位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五、Phase 2:招商执行 (重头戏)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六、Phase 3:品牌与活动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七、Phase 4:商业条款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八、Phase 5:落地推进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九、月度签约率推进表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十、12 月费用与现金流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十一、风险与对冲</w:t>
      </w:r>
    </w:p>
    <w:p>
      <w:pPr>
        <w:spacing w:after="80"/>
        <w:ind w:left="600"/>
      </w:pPr>
      <w:r>
        <w:rPr>
          <w:rFonts w:ascii="微软雅黑" w:hAnsi="微软雅黑" w:eastAsia="微软雅黑"/>
          <w:b w:val="0"/>
          <w:sz w:val="22"/>
        </w:rPr>
        <w:t>十二、投决建议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0. 项目背景与战略转向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本方案产生于 2026 年 6 月的项目战略复盘会议, 与会方包括威总 (森马集团战略主导)、发哥 (商业部总牵头)、周志超 (商业部)、发言人 1 (产业部执行人)、胡教授 (产业部运营顾问/科技企业服务中心负责人) 等。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会议核心达成的共识:</w:t>
      </w:r>
    </w:p>
    <w:p>
      <w:pPr>
        <w:spacing w:after="120"/>
        <w:ind w:left="200"/>
      </w:pPr>
      <w:r>
        <w:rPr>
          <w:rFonts w:ascii="微软雅黑" w:hAnsi="微软雅黑" w:eastAsia="微软雅黑"/>
          <w:b w:val="0"/>
          <w:sz w:val="22"/>
        </w:rPr>
        <w:t>★ 一、战略主轴由 "纯二次元" 升级为 "IP + AI 双轨"。理由是: 二次元企业规模过小 (一般 200-500㎡)、支付能力弱、难获政府政策与创新基金, 与森马商业难以协同。改为 IP+AI 双轨后, AI 主轴负责拿政府政策、拿基金、拿税收贡献, IP 副轴 兼顾威总战略文化导向且杨浦区已有 1 万方 AI+IP 园区先例。</w:t>
      </w:r>
    </w:p>
    <w:p>
      <w:pPr>
        <w:spacing w:after="120"/>
        <w:ind w:left="200"/>
      </w:pPr>
      <w:r>
        <w:rPr>
          <w:rFonts w:ascii="微软雅黑" w:hAnsi="微软雅黑" w:eastAsia="微软雅黑"/>
          <w:b w:val="0"/>
          <w:sz w:val="22"/>
        </w:rPr>
        <w:t>★ 二、明确两个硬节点: 2026/9/30 完成 2,000㎡ 签约 (可含直播基地、共享设计中心擦边球); 2027/5/1 项目开业且 2 万方达到 50%+ 签约 + 消费氛围。</w:t>
      </w:r>
    </w:p>
    <w:p>
      <w:pPr>
        <w:spacing w:after="120"/>
        <w:ind w:left="200"/>
      </w:pPr>
      <w:r>
        <w:rPr>
          <w:rFonts w:ascii="微软雅黑" w:hAnsi="微软雅黑" w:eastAsia="微软雅黑"/>
          <w:b w:val="0"/>
          <w:sz w:val="22"/>
        </w:rPr>
        <w:t>★ 三、招商客户策略调整: 优先招 2,000-20,000㎡ 大客户, 行业转化率新基准 110:1 (招 1 单需见 110 家潜客)。</w:t>
      </w:r>
    </w:p>
    <w:p>
      <w:pPr>
        <w:spacing w:after="120"/>
        <w:ind w:left="200"/>
      </w:pPr>
      <w:r>
        <w:rPr>
          <w:rFonts w:ascii="微软雅黑" w:hAnsi="微软雅黑" w:eastAsia="微软雅黑"/>
          <w:b w:val="0"/>
          <w:sz w:val="22"/>
        </w:rPr>
        <w:t>★ 四、深度绑定闵行区政府: 必须接入闵行区科委 / 商务委 / 街道 三轨, 否则招商节奏会慢 50% 以上。</w:t>
      </w:r>
    </w:p>
    <w:p>
      <w:pPr>
        <w:spacing w:after="120"/>
        <w:ind w:left="200"/>
      </w:pPr>
      <w:r>
        <w:rPr>
          <w:rFonts w:ascii="微软雅黑" w:hAnsi="微软雅黑" w:eastAsia="微软雅黑"/>
          <w:b w:val="0"/>
          <w:sz w:val="22"/>
        </w:rPr>
        <w:t>★ 五、引入资源升级: 腾讯算力补贴 + CVC 创业投资基金 + 欧洲驻沪机构 + 福布斯产业影响力榜 + 复旦大学住房政策研究中心 + 上海市科技企业联合会。</w:t>
      </w:r>
    </w:p>
    <w:p>
      <w:pPr>
        <w:spacing w:after="120"/>
        <w:ind w:left="200"/>
      </w:pPr>
      <w:r>
        <w:rPr>
          <w:rFonts w:ascii="微软雅黑" w:hAnsi="微软雅黑" w:eastAsia="微软雅黑"/>
          <w:b w:val="0"/>
          <w:sz w:val="22"/>
        </w:rPr>
        <w:t>★ 六、确认 5 项产业牌照规划: AI 潮玩产业基地 + 潮玩次元商业专委会 + 复旦分中心 + 上海市科企联 + 福布斯, 一次性挂牌奖励 5 × 30 万 = 150 万。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一、执行摘要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元谷项目 4# 楼 5F+ 和 5# 楼 5F+ 共约 2 万㎡产业研发办公, 是元谷整盘 22 万㎡中产业心脏。本方案以 IP+AI 双轨为战略主轴, 通过基础月费 + 招商佣金 + 5 项挂牌 + 6 场沙龙的组合, 在 24 个月内实现满租, 24 月双向账本:甲方付出 ≈ 714 万元, 甲方收入 ≈ 2,769 万元, 投入产出比 1:3.88, 同时为森马贡献年化租金 1,606 万元 + 资产估值增量 2.47 亿元。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708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关键数据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业务范围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4# 楼 5F+ 约 1 万㎡ + 5# 楼 5F+ 约 1 万㎡, 合计约 2 万㎡产业研发办公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战略主轴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IP + AI 双轨 (AI 拿政策/基金/税收, IP 兼顾战略文化导向)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硬节点 1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2026/9/30 → 2,000㎡ 签约 (T+100 天)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硬节点 2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2027/5/1 → 项目开业 (T+314 天, 50%+ 签约)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全周期目标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2028/5/1 → 90%+ 满租 (T+679 天)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团队配置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 人驻场 + CSO 顾问 (轻骑兵)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基础月费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12 万元/月 (区间 6-18 万, 推荐 2 人)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招商佣金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1.5 / 1.75 / 2.0 个月年租金 (按面积阶梯)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挂牌奖励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万元/项 × 5 项 = 150 万元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沙龙费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 万元/场 × 6 场 = 30 万元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超额奖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24 月满租率 ≥ 95% → 100 万一次性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ROI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: 3.88 (24 个月)</w:t>
            </w:r>
          </w:p>
        </w:tc>
      </w:tr>
    </w:tbl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二、项目实测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2.1 楼宇结构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元谷整盘 22 万㎡, 由 1#-6# 共 6 栋建筑构成: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楼栋</w:t>
            </w:r>
          </w:p>
        </w:tc>
        <w:tc>
          <w:tcPr>
            <w:tcW w:type="dxa" w:w="368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1-3F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4F</w:t>
            </w:r>
          </w:p>
        </w:tc>
        <w:tc>
          <w:tcPr>
            <w:tcW w:type="dxa" w:w="368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5F+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1# 楼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零售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零售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森马集团总部办公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2# 楼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二次元主题 Livehouse / 秀场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3# 楼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1-4F 休闲运动 / 萌宠空间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休闲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酒店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4# 楼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潮玩艺术中心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直播中心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潮玩产业集群 (本方案 1 万㎡)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5# 楼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动漫书店 / 休闲娱乐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动漫延伸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潮玩产业集群 (本方案 1 万㎡)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6# 楼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1-5F 品质生活 / 特色餐饮 / 服务配套 / 商务宴请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2.2 区位与客流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元谷位于上海市闵行区元江路 - 剑川路核心区, 享受三重区位优势: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TOD 优势: 15 号线元江路站 TOD 项目上盖, 单日客流 5-7 万人次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区位优势: 距紫竹高新区 5 km (车程 10 min), 距虹桥机场 17 km (机场快线 45 min), 距浦东机场 36 km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人口覆盖: 15 分钟车行覆盖 24 万居住人口 + 12 万产业办公人口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★ 板块定位: 闵行区五大中心之一, 元江路 - 剑川路地区中心, 比肩漕河泾、张江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2.3 市场租金对标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基于 2024-2026 年大零号湾 / 紫竹高新区主流园区公开放租信息: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对标园区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日租金 (元)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类别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零号湾全球创新创业集聚区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2.0-2.5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标杆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大零号湾科创成果转化中心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2.0-2.5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标杆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华谊万创新所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上海人工智能产业园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紫竹信息数码港 (5A 甲级)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2.1-2.5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紫竹数字创意港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2.0-3.0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文创对标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龙湖蓝海引擎 / 金领谷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1.5-2.8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可对标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云境 443 / 夏日汇 (高端)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2.3-4.5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上限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 4# 楼 5F+ (AI 主轴)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2.2-2.5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中位偏上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元谷 5# 楼 5F+ (IP 主轴)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2.0-2.2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中位</w:t>
            </w:r>
          </w:p>
        </w:tc>
      </w:tr>
    </w:tbl>
    <w:p>
      <w:pPr>
        <w:spacing w:after="80"/>
        <w:ind w:firstLine="440"/>
      </w:pPr>
      <w:r>
        <w:rPr>
          <w:rFonts w:ascii="微软雅黑" w:hAnsi="微软雅黑" w:eastAsia="微软雅黑"/>
          <w:b/>
          <w:sz w:val="22"/>
        </w:rPr>
        <w:t>满租推算 (甲方视角): 2 万㎡ × 365 天 × 2.2 元/㎡/天 ≈ 1,606 万元/年。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三、SWOT 矩阵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</w:r>
          </w:p>
        </w:tc>
        <w:tc>
          <w:tcPr>
            <w:tcW w:type="dxa" w:w="368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内部 (Internal)</w:t>
            </w:r>
          </w:p>
        </w:tc>
        <w:tc>
          <w:tcPr>
            <w:tcW w:type="dxa" w:w="368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外部 (External)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有利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 优势:森马底盘 + 双牌照已确认 + 4#/5# 楼产业配套齐全 (选品/直播/AI 设计/展厅/艺术中心) + 胡教授团队市级科委资源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 机会:AI+潮玩双赛道政策红利 + 5/22 峰会高净值人脉 + 复旦/北大/上海交大学术资源可平移 + 杨浦区先例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不利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 劣势:新建项目品牌势能尚弱 + TOD 工程未完工 + 潮玩生态需培育 + 团队部分成员无产业招商经验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 威胁:周边新园区 (云境 443 / 夏日汇) 竞争 + 政策调整 + 招商节奏不及预期 + 转化率 110:1 严峻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22"/>
        </w:rPr>
        <w:t>应对策略 (写进协议):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用『基础月费保底 + 阶梯佣金』对冲 W (招商节奏风险)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用『5/22 峰会 + 6 场沙龙 + 5 项挂牌』转化 O (政策红利) 为实际客户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用 AI 潮玩产业基地『差异化定位』对冲 T (周边竞争)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用『团队 2 人 + CSO 顾问 + 兼职专家池』对冲 W (经验不足风险)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四、Phase 1:策略与定位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4.1 总定位 — AI 潮玩产业基地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元谷 4# + 5# 楼 5F+ 共 2 万㎡产业研发办公, 总定位为『AI 潮玩产业基地 — 长三角首个 AI+潮玩 双牌照产业策源高地』, 以中国动漫集团『AI 潮玩产业基地』+ 中国百货商业协会『潮玩次元商业专委会』为核心牌照, 与上海交大设计学院 / 闵行科协 / 森马集团 联合建设。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4.2 楼宇分工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楼栋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昵称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主轴</w:t>
            </w:r>
          </w:p>
        </w:tc>
        <w:tc>
          <w:tcPr>
            <w:tcW w:type="dxa" w:w="255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同栋协同配套</w:t>
            </w:r>
          </w:p>
        </w:tc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目标客户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4# 楼 5F+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国际 IP 创意层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AI 主轴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4F 直播 + 5F AI 共享设计 + 5F DIY 中心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大模型 / AIGC / AI 设计 / 国际 IP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5# 楼 5F+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潮玩产业总部层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IP 主轴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5F 潮玩展厅 + 1-4F 动漫书店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头部央企 + 中型潮玩 / 内容 / 动漫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4.3 客户五档配比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严格按照森马原产业规划的五档配比执行: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占比</w:t>
            </w:r>
          </w:p>
        </w:tc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数量 / 户型</w:t>
            </w:r>
          </w:p>
        </w:tc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总面积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头部央企 / 行业协会 (导向)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 家 / 2,000㎡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6,000㎡ → 主要在 5# 楼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共享配套服务体系 (吸附点)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 家 / 700㎡ 均值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2,100㎡ → 4# 楼 + 5# 楼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中型潮玩运营企业 (基础)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4-6 家 / 1,000㎡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4,000-6,000㎡ → 主要在 5# 楼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中小型潮业服务机构 (血肉)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 家 / 300㎡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4,500㎡ → 主要在 4# 楼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小型潮玩运营企业 (骨架)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家 / 200-500㎡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6,000-15,000㎡ → 4# 楼 + 5# 楼</w:t>
            </w:r>
          </w:p>
        </w:tc>
      </w:tr>
    </w:tbl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五、Phase 2:招商执行 (重头戏)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5.1 四级招商漏斗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招商动作</w:t>
            </w:r>
          </w:p>
        </w:tc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核心资源</w:t>
            </w:r>
          </w:p>
        </w:tc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目标产能</w:t>
            </w:r>
          </w:p>
        </w:tc>
        <w:tc>
          <w:tcPr>
            <w:tcW w:type="dxa" w:w="113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周期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L1 牌照锚定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签头部央企 / 行业协会作为旗舰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潮玩产业基地 + 潮玩次元专委 双牌照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 家 × 2,000㎡ = 6,000㎡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T+3 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L2 资本招商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追觅基金返投 + AI 腾讯生态导流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追觅 + 5/22 峰会 LP 资源 + CVC 基金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4-6 家 × 1,000㎡ = 5,000㎡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T+6 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L3 大数据爬楼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仲量联行爬楼数据 + 上门拜访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仲量联行爬楼数据 (¥2.6 万已购入)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家 × 200-500㎡ = 6,000-8,000㎡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T+9 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L4 活动带流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 场沙龙 + 福布斯 + 北欧外事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5/22 峰会 + 6 场沙龙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 家 × 200-500㎡ = 3,000-4,000㎡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T+12 月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5.2 5/22 AI 商业化峰会借势路径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2026 年 5 月 22 日由北京大学经济学院上海校友会 + 复旦大学住房政策研究中心主办的『2026 人工智能商业化落地与硬核投资破局峰会』, 是元谷品牌势能的最大借势机会, 5 件事必做: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① 元谷设峰会专属展位 + 闭门 1V1 招商台 (现场锁定 30-50 位 LP / 潜在客户)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② 颁奖嵌入 — 增设『AI 潮玩产业影响力榜』, 由元谷主办、福布斯背书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③ 主办方资源平移 — 复旦住房政策中心、北大经济学院上海校友会、中行/长江/招行/金浦/铂帝 战略合作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④ 峰会嘉宾转化沙龙 #1 主题嘉宾 — 直接转化为元谷 T+1 月首场 AI+潮玩沙龙嘉宾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⑤ 峰会闭门晚宴 → 形成『元谷创始合伙人圈』 → 12 个月后归入元谷年度大会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5.3 招商六大『出彩点』 (VS 普通招商)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①『牌照即招商』— AI 潮玩产业基地 + 潮玩次元专委 双牌照前置, 客户『送进来』不是『拉进来』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②『基金即招商』— 追觅基金 1:1.5 返投绑定, 资本驱动签约 (不只是租约, 还有股权)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③『数据即招商』— 仲量联行爬楼数据 (¥2.6 万已购) → 200 家精准客户清单 + 转化率提升 30%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④『峰会即招商』— 5/22 AI 峰会 200+ VIP, 1 天锁定 30-50 客户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⑤『沙龙即招商』— 6 场产业沙龙, 每场 30+ 目标客户, 一场签 1-2 家 = 5-12 家直接成果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⑥『学术即招商』— 复旦 + 上海交大 + 北大 三所高校背书招商</w:t>
      </w:r>
    </w:p>
    <w:p>
      <w:pPr>
        <w:spacing w:after="80"/>
        <w:ind w:firstLine="440"/>
      </w:pPr>
      <w:r>
        <w:rPr>
          <w:rFonts w:ascii="微软雅黑" w:hAnsi="微软雅黑" w:eastAsia="微软雅黑"/>
          <w:b/>
          <w:color w:val="F27E2D"/>
          <w:sz w:val="22"/>
        </w:rPr>
        <w:t>→ 普通园区只做 ③④, 元谷六维齐发 → 招商速度领先 6-12 个月, 单方租金溢价 0.2-0.4 元/㎡/天。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5.4 9/30 节点深拆 — 2,000㎡ 怎么来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来源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面积估算</w:t>
            </w:r>
          </w:p>
        </w:tc>
        <w:tc>
          <w:tcPr>
            <w:tcW w:type="dxa" w:w="113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落地概率</w:t>
            </w:r>
          </w:p>
        </w:tc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兜底方案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1-2 家中大型 AI/IP 客户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1,000-2,000㎡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若未签, 直播 + 设计中心兜底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共享直播基地落地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800-1,000㎡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90%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森马已具备意愿, 7 月启动硬件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共享设计中心落地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500-800㎡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80%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联动腾讯/上海交大, 8 月挂牌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产业服务中心入驻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300-500㎡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乙方自营业态, 100% 计入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首批小型 AI/IP 客户 3-5 家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600-1,500㎡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50%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L4 沙龙带流的快速转化</w:t>
            </w:r>
          </w:p>
        </w:tc>
      </w:tr>
    </w:tbl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六、Phase 3:品牌与活动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6.1 6 场产业沙龙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每场沙龙到场目标产业客户不少于 30 家, 每场触达 300-500 人, 媒体声量 ≥ 100 万次曝光: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#</w:t>
            </w:r>
          </w:p>
        </w:tc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主题</w:t>
            </w:r>
          </w:p>
        </w:tc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联办方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#1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T+1 月 (2026/7)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+ 潮玩 跨界融合 (借势 5/22 峰会)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中动漫 + AI 腾讯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#2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T+3 月 (2026/9)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潮玩出海 (北欧 / 日韩 / 东南亚)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北欧创新国际会客厅 + 福布斯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#3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T+5 月 (2026/11)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投融资路演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追觅 + 招商银行 + 长江证券 + 金浦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#4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T+7 月 (2027/1)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设计与创意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上海交大设计学院 + 上海市科企联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#5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T+9 月 (2027/3)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 IP 与 Z 世代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中百协潮玩次元专委 + 中动漫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#6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T+11 月 (2027/5)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政策补贴与小镇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闵行科协 + 复旦住房政策中心</w:t>
            </w:r>
          </w:p>
        </w:tc>
      </w:tr>
    </w:tbl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6.2 5 项挂牌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#</w:t>
            </w:r>
          </w:p>
        </w:tc>
        <w:tc>
          <w:tcPr>
            <w:tcW w:type="dxa" w:w="340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挂牌名称</w:t>
            </w:r>
          </w:p>
        </w:tc>
        <w:tc>
          <w:tcPr>
            <w:tcW w:type="dxa" w:w="255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出牌方</w:t>
            </w:r>
          </w:p>
        </w:tc>
        <w:tc>
          <w:tcPr>
            <w:tcW w:type="dxa" w:w="113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落地节点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单项奖励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潮玩产业基地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中国动漫集团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T+3 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万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潮玩次元商业专委会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中国百货商业协会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T+3 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万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复旦大学住房政策研究中心 元谷分中心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复旦大学住房政策研究中心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T+9 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万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上海市科技企业联合会 元谷产业基地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上海市科技企业联合会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T+6 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万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福布斯产业影响力奖 元谷专场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福布斯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T+12 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万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 项合计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 万</w:t>
            </w:r>
          </w:p>
        </w:tc>
      </w:tr>
    </w:tbl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七、Phase 4:商业条款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7.1 基础月费 — 1-3 人配置阶梯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配置</w:t>
            </w:r>
          </w:p>
        </w:tc>
        <w:tc>
          <w:tcPr>
            <w:tcW w:type="dxa" w:w="340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人员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月度刚性成本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建议月费</w:t>
            </w:r>
          </w:p>
        </w:tc>
        <w:tc>
          <w:tcPr>
            <w:tcW w:type="dxa" w:w="850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毛利率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人轻配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招商单兵 + CSO 顾问 (折半)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45,000 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60,000 元/月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25%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2 人推荐配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招商 + 活动策划 + CSO 顾问 + 数据接口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95,000 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120,000 元/月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21%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 人重配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招商 + 活动 + 基金投后/政府关系 + CSO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140,000 元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180,000 元/月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22%</w:t>
            </w:r>
          </w:p>
        </w:tc>
      </w:tr>
    </w:tbl>
    <w:p>
      <w:pPr>
        <w:spacing w:after="80"/>
        <w:ind w:firstLine="440"/>
      </w:pPr>
      <w:r>
        <w:rPr>
          <w:rFonts w:ascii="微软雅黑" w:hAnsi="微软雅黑" w:eastAsia="微软雅黑"/>
          <w:b/>
          <w:color w:val="F27E2D"/>
          <w:sz w:val="22"/>
        </w:rPr>
        <w:t>★ 推荐方案:2 人配置 + 12 万元/月 → 24 个月合计基础月费 288 万元。覆盖刚性成本 9.5 万 + 安全垫 2.5 万 (毛利率 21%)。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7.2 招商佣金阶梯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面积档位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日租金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年租金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佣金月数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佣金 (元/㎡)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≤ 2,000㎡ 小型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730 元/㎡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1.5 个月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91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2,001-5,000㎡ 中型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803 元/㎡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1.75 个月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&gt; 5,000㎡ 头部 / 央企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913 元/㎡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2.0 个月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152</w:t>
            </w:r>
          </w:p>
        </w:tc>
      </w:tr>
    </w:tbl>
    <w:p>
      <w:pPr>
        <w:spacing w:after="80"/>
        <w:ind w:firstLine="440"/>
      </w:pPr>
      <w:r>
        <w:rPr>
          <w:rFonts w:ascii="微软雅黑" w:hAnsi="微软雅黑" w:eastAsia="微软雅黑"/>
          <w:b w:val="0"/>
          <w:color w:val="F27E2D"/>
          <w:sz w:val="22"/>
        </w:rPr>
        <w:t>★ 满租 2 万㎡ × 按 1.75 个月加权平均 → 佣金累计 ≈ 234 万元 (24 个月)。返投基金客户额外加成 +0.25 个月。</w:t>
      </w:r>
    </w:p>
    <w:p>
      <w:pPr>
        <w:spacing w:before="200" w:after="80"/>
        <w:jc w:val="left"/>
      </w:pPr>
      <w:r>
        <w:rPr>
          <w:rFonts w:ascii="微软雅黑" w:hAnsi="微软雅黑" w:eastAsia="微软雅黑"/>
          <w:b/>
          <w:color w:val="142C5E"/>
          <w:sz w:val="30"/>
        </w:rPr>
        <w:t>7.3 KPI 与对赌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T+6 月签约 ≥ 4,000㎡ / T+12 月 ≥ 10,000㎡ (4# 楼基本满租) / T+24 月 ≥ 18,000㎡ (90% 满租视为达标)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沙龙:每场 ≥ 30 目标产业客户 (现场签到 + 闭环管理)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挂牌:T+12 月 ≥ 3 项 / T+24 月 ≥ 5 项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未达标的, 当期月费保留 50%, 待达成后补足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超额奖励:24 月满租率 ≥ 95% → 一次性奖励 100 万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八、Phase 5:落地推进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节点</w:t>
            </w:r>
          </w:p>
        </w:tc>
        <w:tc>
          <w:tcPr>
            <w:tcW w:type="dxa" w:w="425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关键动作</w:t>
            </w:r>
          </w:p>
        </w:tc>
        <w:tc>
          <w:tcPr>
            <w:tcW w:type="dxa" w:w="2835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里程碑产出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 天 (5/22 当周内)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MOU 签订 + 2-3 人战队就位 + 仲量联行数据接入 + 5/22 峰会借势完成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首批 20 家意向客户清单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60 天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沙龙 #1 (AI+潮玩) 完成 + AI 潮玩产业基地挂牌筹备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签约首单 + 媒体头部曝光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90 天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潮玩产业基地正式挂牌 + 潮玩次元专委挂牌 + 4,000㎡ 签约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L1 牌照客户 3 家入驻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180 天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沙龙过半 (3 场) + 上海市科企联挂牌 + 8,000㎡ 签约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L2 资本招商客户落地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365 天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 场沙龙完成 + 5 项挂牌全部落地 + 4# 楼 1 万方满租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首年报告 + 续约谈判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730 天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5# 楼 1 万方满租 + 沙龙年度 IP 化 + 福布斯榜单元谷专场上线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2 万方目标完成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/>
          <w:sz w:val="22"/>
        </w:rPr>
        <w:t>团队配置 (2 人核心 + CSO + 兼职专家池):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产业招商经理 (全职):22K 底薪 + 10K 绩效 + 招商提成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国际合作 &amp; 活动策划 (全职):20K 底薪 + 8K 绩效 + 沙龙分润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CSO (胡教授本人):每周 ≥ 2 个工作日 + 重大节点全勤, 月顾问费 25K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· 兼职专家池 (项目制):财税 / 法律 / 知识产权 / 政府补贴顾问</w:t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九、月度签约率推进表 (按 803 元/㎡ 估算)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月份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本月新增 (㎡)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累计签约 (㎡)</w:t>
            </w:r>
          </w:p>
        </w:tc>
        <w:tc>
          <w:tcPr>
            <w:tcW w:type="dxa" w:w="1417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累计签约率</w:t>
            </w:r>
          </w:p>
        </w:tc>
        <w:tc>
          <w:tcPr>
            <w:tcW w:type="dxa" w:w="170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累计年租金 (元)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里程碑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2026/7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240,900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战队就位 + 物料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2026/8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1,100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883,300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L1 牌照 + 大客户接触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2026/9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1,200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2,300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1,846,900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9/30 硬节点达成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2026/10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1,000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3,300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16.5%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2,649,900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L3 爬楼启动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2026/11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1,000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4,300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21.5%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3,452,900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沙龙 #3 投融资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2026/12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1,200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5,500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27.5%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4,416,500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Q4 收官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2027/1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1,200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6,700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33.5%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5,380,100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新年首单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2027/2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1,000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7,700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38.5%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6,183,100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2027/3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1,200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8,900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44.5%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7,146,700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2027/4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1,500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10,400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52%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8,351,200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5/1 节点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2027/5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1,500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11,900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59.5%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9,555,700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开业典礼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2027/6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1,300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13,200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66.0%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10,599,600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十、12 月费用与现金流 (向森马提案口径)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费用类别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金额 (元)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支付节奏</w:t>
            </w:r>
          </w:p>
        </w:tc>
        <w:tc>
          <w:tcPr>
            <w:tcW w:type="dxa" w:w="1984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森马承担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团队月费 12 万 × 12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1,440,000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按月预付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招商佣金 (累计 11,900㎡)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1,400,000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起租后 30 日内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 项挂牌 (一次性)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1,500,000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挂牌 30 日内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 场沙龙执行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300,000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按场结算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5/1 开业典礼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800,000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开业前 30 日内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装修补贴 + 物料 + 设计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实报实销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接待 + 交通 + 政府关系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月度报销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直播 + AI 设计中心硬件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一次性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12 月合计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6,840,000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684 万</w:t>
            </w:r>
          </w:p>
        </w:tc>
      </w:tr>
    </w:tbl>
    <w:p>
      <w:pPr>
        <w:spacing w:after="80"/>
        <w:ind w:firstLine="440"/>
      </w:pPr>
      <w:r>
        <w:rPr>
          <w:rFonts w:ascii="微软雅黑" w:hAnsi="微软雅黑" w:eastAsia="微软雅黑"/>
          <w:b/>
          <w:color w:val="F27E2D"/>
          <w:sz w:val="22"/>
        </w:rPr>
        <w:t>同期甲方现金回收: 租金累计 ≈ 956 万 + 物业 ≈ 90 万 = ≈ 1,046 万元。单 12 个月已现金回正 (1,046 万 vs 684 万)。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十一、风险与对冲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风险</w:t>
            </w:r>
          </w:p>
        </w:tc>
        <w:tc>
          <w:tcPr>
            <w:tcW w:type="dxa" w:w="2551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4252"/>
            <w:shd w:fill="142C5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对冲机制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9/30 节点 2,000㎡ 未达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森马失信 + 项目延期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擦边球 (直播 + 设计中心) 兜底 + KPI 对赌月费保留 50%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5/1 开业 50% 未达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开业氛围不足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阶段 4 满租期延长 + 沙龙 IP 化加速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110:1 → 130:1 (恶化)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招商节奏放缓 30%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团队扩 1 人 (改 3 人重配) + 月费上调至 18 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闵行区政策变化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补贴/牌照不落地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备份:杨浦区 / 漕河泾 / 张江政策可援引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行业资本退潮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AI 客户付款能力下降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切换 IP 主轴比例 + 出海企业引入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森马商业部协同延误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1#/6# 商业氛围不足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★ 5.2 万方与 2 万方独立排期</w:t>
            </w:r>
          </w:p>
        </w:tc>
      </w:tr>
    </w:tbl>
    <w:p>
      <w:pPr>
        <w:spacing w:before="280" w:after="160"/>
        <w:jc w:val="center"/>
      </w:pPr>
      <w:r>
        <w:rPr>
          <w:rFonts w:ascii="微软雅黑" w:hAnsi="微软雅黑" w:eastAsia="微软雅黑"/>
          <w:b/>
          <w:color w:val="142C5E"/>
          <w:sz w:val="40"/>
        </w:rPr>
        <w:t>十二、投决建议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★ 三问决策 (建议森马本周内确定):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① 是否接受 IP+AI 双轨战略调整? — 建议:是 (杨浦区已有先例)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② 是否接受 2 人驻场 + 12 万元月费 + 1.5-2 月佣金 + 5 项挂牌 + 6 场沙龙条款? — 建议:是</w:t>
      </w:r>
    </w:p>
    <w:p>
      <w:pPr>
        <w:spacing w:after="80"/>
        <w:ind w:left="400"/>
      </w:pPr>
      <w:r>
        <w:rPr>
          <w:rFonts w:ascii="微软雅黑" w:hAnsi="微软雅黑" w:eastAsia="微软雅黑"/>
          <w:b w:val="0"/>
          <w:sz w:val="22"/>
        </w:rPr>
        <w:t>③ 是否同意 7 月初启动 (赶 9/30 硬节点)? — 建议:是, 错过 7 月即风险陡增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★ 一句话总结: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以 IP+AI 双轨战略, 借势 5/22 峰会余热与闵行区科委政策红利,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100 天达成 9/30 节点 2,000㎡, 314 天达成 5/1 开业 50% 签约,</w:t>
      </w:r>
    </w:p>
    <w:p>
      <w:pPr>
        <w:spacing w:after="80"/>
        <w:ind w:firstLine="440"/>
      </w:pPr>
      <w:r>
        <w:rPr>
          <w:rFonts w:ascii="微软雅黑" w:hAnsi="微软雅黑" w:eastAsia="微软雅黑"/>
          <w:b w:val="0"/>
          <w:sz w:val="22"/>
        </w:rPr>
        <w:t>730 天达成 2 万方满租, 为森马贡献年化租金 1,606 万元 + 资产估值 2.47 亿元。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★ 决策成本对照: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─ 12 个月投入: ≈ 684 万元 (月费 + 佣金 + 挂牌 + 沙龙 + 开业)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─ 12 个月收入: ≈ 1,046 万元 (租金 + 物业)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─ 12 个月净收益: ≈ +362 万元 (单 12 月已正)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─ 24 月 ROI: 1:3.88</w:t>
      </w:r>
    </w:p>
    <w:p>
      <w:pPr>
        <w:spacing w:after="80"/>
        <w:ind w:left="300"/>
      </w:pPr>
      <w:r>
        <w:rPr>
          <w:rFonts w:ascii="微软雅黑" w:hAnsi="微软雅黑" w:eastAsia="微软雅黑"/>
          <w:b w:val="0"/>
          <w:sz w:val="22"/>
        </w:rPr>
        <w:t>─ 永续资产估值: 2.47 亿元 (8% 折现)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