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微软雅黑" w:hAnsi="微软雅黑" w:eastAsia="微软雅黑"/>
          <w:b/>
          <w:color w:val="0F244E"/>
          <w:sz w:val="56"/>
        </w:rPr>
        <w:t>元谷项目媒体宣传方案</w:t>
      </w:r>
      <w:r>
        <w:br/>
      </w:r>
      <w:r>
        <w:rPr>
          <w:rFonts w:ascii="微软雅黑" w:hAnsi="微软雅黑" w:eastAsia="微软雅黑"/>
          <w:b/>
          <w:color w:val="F27E2D"/>
          <w:sz w:val="40"/>
        </w:rPr>
        <w:t>(媒体服务)</w:t>
      </w:r>
    </w:p>
    <w:p>
      <w:pPr>
        <w:jc w:val="center"/>
      </w:pPr>
      <w:r>
        <w:rPr>
          <w:rFonts w:ascii="微软雅黑" w:hAnsi="微软雅黑" w:eastAsia="微软雅黑"/>
          <w:b w:val="0"/>
          <w:color w:val="667086"/>
          <w:sz w:val="26"/>
        </w:rPr>
        <w:t>中央级 + 全国性 + 上海主流媒体宣发  ·  社交媒体流量投放  ·  舆情管理</w:t>
      </w:r>
    </w:p>
    <w:p>
      <w:pPr>
        <w:spacing w:before="640"/>
        <w:jc w:val="center"/>
      </w:pPr>
      <w:r>
        <w:rPr>
          <w:rFonts w:ascii="微软雅黑" w:hAnsi="微软雅黑" w:eastAsia="微软雅黑"/>
          <w:b w:val="0"/>
          <w:color w:val="55607A"/>
          <w:sz w:val="22"/>
        </w:rPr>
        <w:t>出品方(乙方):胡教授团队 (代表复旦大学住房政策研究中心、上海市科技企业联合会)</w:t>
      </w:r>
      <w:r>
        <w:br/>
      </w:r>
      <w:r>
        <w:rPr>
          <w:rFonts w:ascii="微软雅黑" w:hAnsi="微软雅黑" w:eastAsia="微软雅黑"/>
          <w:b w:val="0"/>
          <w:color w:val="55607A"/>
          <w:sz w:val="22"/>
        </w:rPr>
        <w:t>呈:危建平总  ·  作为元谷项目招商运营的媒体宣传服务模块</w:t>
      </w:r>
      <w:r>
        <w:br/>
      </w:r>
    </w:p>
    <w:p>
      <w:pPr>
        <w:spacing w:before="560"/>
        <w:jc w:val="center"/>
      </w:pPr>
      <w:r>
        <w:rPr>
          <w:rFonts w:ascii="微软雅黑" w:hAnsi="微软雅黑" w:eastAsia="微软雅黑"/>
          <w:b w:val="0"/>
          <w:color w:val="993333"/>
          <w:sz w:val="20"/>
        </w:rPr>
        <w:t>本方案为可选的媒体宣传服务模块, 与招商佣金、沙龙、挂牌等并行, 用于放大元谷项目品牌声量、赋能招商。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媒体宣传:为招商蓄势、为品牌立势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元谷项目定位『大零号湾文创融合核心区 + 上海市唯一科技时尚特色小镇』, IP + AI 双轨产业策源高地。招商成败很大程度取决于品牌声量与产业势能。乙方(胡教授团队, 代表复旦大学住房政策研究中心、上海市科技企业联合会)依托自身在中央级、全国性、上海主流媒体的资源, 为元谷项目提供专业媒体宣传服务, 以『主流媒体权威引领 + 社交媒体精准触达』双轮驱动, 放大项目声量、赋能招商转化。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一、服务范围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1. 参与商议当月广告宣传重点, 向甲方推荐适合的媒体;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2. 为甲方进行媒体策划、媒体公关、媒体联系等服务;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3. 根据甲方宣传重点, 为甲方撰写相关宣传稿;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4. 为甲方在主流媒体上联系、沟通并发表企业(项目)形象报道;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5. 为甲方解答媒体传播中遇到的问题;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6. 负责为甲方收集媒体市场信息以及行业媒体资料, 并对此提供点对点咨询;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7. 受甲方委托, 策划组织媒体发布会、媒体沙龙、媒体行等;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8. 合作结束后, 提供完整投放报告(含发布链接证明、曝光量证明和投放分析等)。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二、服务周期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本方案约定服务周期自合同签订起至 2026 年 12 月 31 日。服务期满后, 双方可根据合作情况商谈续约事宜, 乙方享有优先续约权。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与招商排期衔接:媒体宣传节奏建议紧扣两个硬节点 —— 2026/9/30(2,000㎡ 签约)与 2027/5/1(项目开业), 在关键节点前集中投放, 放大招商势能。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三、服务内容及报价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根据双方商议, 乙方为甲方提供服务及价格如下(合作内容可根据甲方宣传需要调整):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41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服务项目</w:t>
            </w:r>
          </w:p>
        </w:tc>
        <w:tc>
          <w:tcPr>
            <w:tcW w:type="dxa" w:w="3742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内容说明</w:t>
            </w:r>
          </w:p>
        </w:tc>
        <w:tc>
          <w:tcPr>
            <w:tcW w:type="dxa" w:w="1020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2268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费用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原创内容生产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结合项目全新品牌定位与品牌内涵, 制定宣传报道计划, 提供品牌宣传稿件和市场营销活动稿件的原创采写服务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 篇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折后总价 5 万元</w:t>
              <w:br/>
              <w:t>(媒体总曝光量预计不低于 150 万)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中央级 / 全国性 / 上海区域主流媒体宣发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根据项目宣传需求, 在中央级媒体、全国性财经/政经类媒体、上海区域主流媒体进行内容宣发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 篇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打包报价(按媒体档位据实核算)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全国主流社交媒体平台流量投放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宣传平台:抖音、今日头条等;广告形式:信息流广告;投放区域:上海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按投放量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按投放量计</w:t>
              <w:br/>
              <w:t>(乙方负责精准流量投放;抖音短视频素材拍摄制作费用不含在内)</w:t>
            </w:r>
          </w:p>
        </w:tc>
      </w:tr>
      <w:tr>
        <w:tc>
          <w:tcPr>
            <w:tcW w:type="dxa" w:w="204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营销策划与舆情管理咨询服务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根据项目需求, 提供营销策划咨询服务, 并配合协调处理媒体舆情等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不超 2 次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含于媒体服务包</w:t>
            </w:r>
          </w:p>
        </w:tc>
      </w:tr>
    </w:tbl>
    <w:p>
      <w:pPr>
        <w:spacing w:after="80"/>
        <w:ind w:firstLine="420"/>
      </w:pPr>
      <w:r>
        <w:rPr>
          <w:rFonts w:ascii="微软雅黑" w:hAnsi="微软雅黑" w:eastAsia="微软雅黑"/>
          <w:b w:val="0"/>
          <w:color w:val="667086"/>
          <w:sz w:val="21"/>
        </w:rPr>
        <w:t>说明:上表『原创内容生产 3 篇 / 5 万元(曝光≥150 万)』为明确报价;其余项目可按甲方宣传需要打包或据实核算。建议以媒体宣传服务包形式一次性确定当期投放范围与预算, 便于执行与结算。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四、传播策略说明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0F244E"/>
          <w:sz w:val="28"/>
        </w:rPr>
        <w:t>1. 主流媒体权威引领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在传播策略上, 首先应充分重视中央级媒体、区域主流媒体等的引领作用。主流媒体因其独特的信息采集能力、权威性以及专业性, 能够主动且直接地发声, 对网络信息环境产生显著影响, 进而决定舆情的发展方向。因此, 传播工作规划上, 首先将重点围绕全国性和区域性主流媒体而展开。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中央级、全国性媒体包括但不限于: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央视新闻客户端、央广网、人民网、新华网、中新网、第一财经、21 世纪经济报道、澎湃新闻、界面新闻、中国日报、上海证券报、中国证券报 等。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0F244E"/>
          <w:sz w:val="28"/>
        </w:rPr>
        <w:t>2. 社交媒体双轮驱动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在社交媒体投放策略上, 应充分利用今日头条的深度阅读场景与抖音的高频互动优势, 实现『广度覆盖 + 深度触达』的双轮驱动。通过信息流广告的精准算法推荐, 有效锁定目标受众, 提升品牌在核心人群中的可见度与影响力, 为后续业务(招商)转化奠定坚实的流量基础与认知铺垫, 确保营销预算的高效利用与投资回报最大化。</w:t>
      </w:r>
    </w:p>
    <w:p>
      <w:pPr>
        <w:spacing w:before="160" w:after="80"/>
        <w:jc w:val="left"/>
      </w:pPr>
      <w:r>
        <w:rPr>
          <w:rFonts w:ascii="微软雅黑" w:hAnsi="微软雅黑" w:eastAsia="微软雅黑"/>
          <w:b/>
          <w:color w:val="0F244E"/>
          <w:sz w:val="28"/>
        </w:rPr>
        <w:t>3. 与招商 / 活动的协同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媒体宣传与 6 场产业沙龙、5·22 AI 商业化峰会、5 项产业牌照挂牌协同发声, 形成『活动造势 + 媒体放大』闭环;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重大节点(9/30 签约节点、5/1 开业)前集中投放, 把品牌声量直接转化为招商线索;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联动福布斯产业影响力奖、北欧创新国际会客厅等国际化资源, 提升项目在高端产业人群中的认知。</w:t>
      </w:r>
    </w:p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五、媒体资源清单(部分)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74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4535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媒体(部分)</w:t>
            </w:r>
          </w:p>
        </w:tc>
        <w:tc>
          <w:tcPr>
            <w:tcW w:type="dxa" w:w="1928"/>
            <w:shd w:fill="0F244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作用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中央级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央视新闻客户端、央广网、人民网、新华网、中新网、中国日报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权威背书 / 定调舆情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全国财经政经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第一财经、21 世纪经济报道、澎湃新闻、界面新闻、上海证券报、中国证券报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产业价值传播 / 招商公信力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上海区域主流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解放日报、文汇报、上观新闻、闵行区人民政府官网等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属地政府背书 / 区域影响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社交媒体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抖音(信息流)、今日头条(深度阅读)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精准流量 / 目标受众触达</w:t>
            </w:r>
          </w:p>
        </w:tc>
      </w:tr>
    </w:tbl>
    <w:p>
      <w:pPr>
        <w:spacing w:before="240" w:after="160"/>
        <w:jc w:val="center"/>
      </w:pPr>
      <w:r>
        <w:rPr>
          <w:rFonts w:ascii="微软雅黑" w:hAnsi="微软雅黑" w:eastAsia="微软雅黑"/>
          <w:b/>
          <w:color w:val="0F244E"/>
          <w:sz w:val="36"/>
        </w:rPr>
        <w:t>六、投放报告与结算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合作结束后(或按月/按节点), 乙方向甲方提供完整投放报告, 含:发布链接证明、曝光量证明、投放数据分析等;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结算方式:媒体服务费建议按服务包一次性或按节点分期支付, 具体以双方约定为准;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本媒体宣传服务为可选模块, 与招商佣金、沙龙执行费、挂牌费等相互独立, 不影响其他服务的计费。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80"/>
        <w:ind w:firstLine="400"/>
      </w:pPr>
      <w:r>
        <w:rPr>
          <w:rFonts w:ascii="微软雅黑" w:hAnsi="微软雅黑" w:eastAsia="微软雅黑"/>
          <w:b w:val="0"/>
          <w:color w:val="993333"/>
          <w:sz w:val="20"/>
        </w:rPr>
        <w:t>本方案为商务沟通材料, 具体媒体投放范围、篇数与报价以双方签署的媒体服务协议为准。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