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B3F"/>
          <w:sz w:val="44"/>
          <w:rFonts w:eastAsia="微软雅黑" w:ascii="微软雅黑"/>
        </w:rPr>
        <w:t>绿城中国 | 绿城·潮鸣外滩</w:t>
      </w:r>
    </w:p>
    <w:p>
      <w:pPr>
        <w:spacing w:line="336" w:lineRule="auto"/>
        <w:jc w:val="center"/>
      </w:pPr>
      <w:r>
        <w:rPr>
          <w:b/>
          <w:color w:val="1A1A1A"/>
          <w:sz w:val="24"/>
          <w:rFonts w:eastAsia="微软雅黑" w:ascii="微软雅黑"/>
        </w:rPr>
        <w:t>「重构与突围 · 2026 人工智能商业化落地与硬核投资破局峰会」</w:t>
      </w:r>
    </w:p>
    <w:p>
      <w:pPr>
        <w:spacing w:line="336" w:lineRule="auto"/>
        <w:jc w:val="center"/>
      </w:pPr>
      <w:r>
        <w:rPr>
          <w:b/>
          <w:color w:val="006B3F"/>
          <w:sz w:val="28"/>
          <w:rFonts w:eastAsia="微软雅黑" w:ascii="微软雅黑"/>
        </w:rPr>
        <w:t>晚宴冠名战略合作伙伴 · 10 万元赞助专项设计方案</w:t>
      </w:r>
    </w:p>
    <w:p>
      <w:pPr>
        <w:spacing w:line="336" w:lineRule="auto"/>
        <w:jc w:val="center"/>
      </w:pPr>
      <w:r>
        <w:rPr>
          <w:b w:val="0"/>
          <w:color w:val="555555"/>
          <w:sz w:val="20"/>
          <w:rFonts w:eastAsia="微软雅黑" w:ascii="微软雅黑"/>
        </w:rPr>
        <w:t>提报日期：2026 年 5 月</w:t>
      </w:r>
    </w:p>
    <w:p/>
    <w:p>
      <w:r>
        <w:rPr>
          <w:b/>
          <w:color w:val="006B3F"/>
          <w:sz w:val="32"/>
          <w:rFonts w:eastAsia="微软雅黑" w:ascii="微软雅黑"/>
        </w:rPr>
        <w:t>一、合作概要 Cooperation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51"/>
            <w:vAlign w:val="center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微软雅黑" w:ascii="微软雅黑"/>
              </w:rPr>
              <w:t>项目</w:t>
            </w:r>
          </w:p>
        </w:tc>
        <w:tc>
          <w:tcPr>
            <w:tcW w:type="dxa" w:w="7087"/>
            <w:vAlign w:val="center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微软雅黑" w:ascii="微软雅黑"/>
              </w:rPr>
              <w:t>内容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赞助方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绿城中国控股有限公司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项目品牌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绿城·潮鸣外滩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合作身份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晚宴冠名战略合作伙伴（Dinner Title Strategic Partner）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赞助金额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人民币 100,000 元（壹拾万元整）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合作峰会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重构与突围 · 2026 AI 商业化落地与硬核投资破局峰会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主办方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北京大学经济学院上海校友会 · 复旦大学住房政策研究中心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大会时间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2026 年 5 月 22 日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大会地点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上海·北外滩·一滴水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现场规模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500+ 位高净值嘉宾（25% 上市公司/独角兽高管、20% 一二级市场基金合伙人、25% AI 创业团队创始人、20% 双校核心校友、10% 政府与媒体）</w:t>
            </w:r>
          </w:p>
        </w:tc>
      </w:tr>
    </w:tbl>
    <w:p>
      <w:r>
        <w:rPr>
          <w:b/>
          <w:color w:val="006B3F"/>
          <w:sz w:val="32"/>
          <w:rFonts w:eastAsia="微软雅黑" w:ascii="微软雅黑"/>
        </w:rPr>
        <w:t>二、10 万元晚宴冠名战略合作伙伴 · 定制权益总览</w:t>
      </w:r>
    </w:p>
    <w:p>
      <w:pPr>
        <w:spacing w:line="336" w:lineRule="auto"/>
        <w:ind w:firstLine="420"/>
      </w:pPr>
      <w:r>
        <w:rPr>
          <w:b w:val="0"/>
          <w:color w:val="1A1A1A"/>
          <w:sz w:val="21"/>
          <w:rFonts w:eastAsia="微软雅黑" w:ascii="微软雅黑"/>
        </w:rPr>
        <w:t>本级权益在原峰会「钻石赞助 50,000 元」基础上，叠加「晚宴冠名」+「项目专场宣讲」+「场地展位+尊界接驳参观」三大核心独家权益，整体价值评估高于现有钻石+铂金组合，为绿城·潮鸣外滩在 500 人高净值客群中提供从「会前预热—会中渗透—晚宴主场—会后传播—项目到访」的全链路品牌植入。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17"/>
            <w:vAlign w:val="center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微软雅黑" w:ascii="微软雅黑"/>
              </w:rPr>
              <w:t>模块</w:t>
            </w:r>
          </w:p>
        </w:tc>
        <w:tc>
          <w:tcPr>
            <w:tcW w:type="dxa" w:w="3118"/>
            <w:vAlign w:val="center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微软雅黑" w:ascii="微软雅黑"/>
              </w:rPr>
              <w:t>核心权益</w:t>
            </w:r>
          </w:p>
        </w:tc>
        <w:tc>
          <w:tcPr>
            <w:tcW w:type="dxa" w:w="3118"/>
            <w:vAlign w:val="center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微软雅黑" w:ascii="微软雅黑"/>
              </w:rPr>
              <w:t>形式 / 物料</w:t>
            </w:r>
          </w:p>
        </w:tc>
        <w:tc>
          <w:tcPr>
            <w:tcW w:type="dxa" w:w="1984"/>
            <w:vAlign w:val="center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微软雅黑" w:ascii="微软雅黑"/>
              </w:rPr>
              <w:t>执行方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A. 晚宴冠名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「晚宴冠名战略合作伙伴：绿城中国 | 绿城·潮鸣外滩」全程统称权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晚宴 KV 主视觉、席卡、桌卡、菜单 logo 植入；主持人开场+结束口播鸣谢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主办 + 活动公司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B. 主会场植入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主背景板 logo、议程手册广告、会场宣传片轮播、500 人手拎袋折页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主背景板钻石级 logo、议程手册整版、手拎袋内 285/310 户型折页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主办 + 印刷单位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C. 现场展位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电梯口 + 展场内 2 处专属品牌展位，各派销售 2 人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易拉宝、户型图 KT 板、纸质物料、桌台轻包装；销售物料台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绿城方 + 活动公司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D. 项目专场宣讲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晚宴开场前 15 分钟，川总「绿城·潮鸣外滩」专场 PPT 演讲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PPT、话筒、音响、LED 大屏；主持人引荐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绿城方 + 活动公司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E. 项目到访接驳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华为尊界接驳 8–10 辆 + 考斯特补位，定向引导嘉宾到访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尊界品牌车队 + 现场引导员 + 项目案场接待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绿城方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F. 论坛后口播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圆桌结束后主持人口播赞助方并引导嘉宾前往项目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主持人定制口播稿；现场动线引导员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主办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G. 媒体宣发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媒体通稿、九宫格植入、白皮书署名、回顾视频片头鸣谢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新闻通稿、朋友圈九宫格图、回顾短片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主办媒体组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H. 长效圈层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双校长三角校友产业联盟战略合作伙伴永久入册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联盟通讯录、后续活动优先合作权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主办</w:t>
            </w:r>
          </w:p>
        </w:tc>
      </w:tr>
    </w:tbl>
    <w:p>
      <w:r>
        <w:rPr>
          <w:b/>
          <w:color w:val="006B3F"/>
          <w:sz w:val="32"/>
          <w:rFonts w:eastAsia="微软雅黑" w:ascii="微软雅黑"/>
        </w:rPr>
        <w:t>三、晚宴现场冠名设计方案</w:t>
      </w:r>
    </w:p>
    <w:p>
      <w:r>
        <w:rPr>
          <w:b/>
          <w:color w:val="1A1A1A"/>
          <w:sz w:val="26"/>
          <w:rFonts w:eastAsia="微软雅黑" w:ascii="微软雅黑"/>
        </w:rPr>
        <w:t>3.1 视觉植入位与责任分工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567"/>
            <w:vAlign w:val="center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微软雅黑" w:ascii="微软雅黑"/>
              </w:rPr>
              <w:t>序号</w:t>
            </w:r>
          </w:p>
        </w:tc>
        <w:tc>
          <w:tcPr>
            <w:tcW w:type="dxa" w:w="1984"/>
            <w:vAlign w:val="center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微软雅黑" w:ascii="微软雅黑"/>
              </w:rPr>
              <w:t>物料</w:t>
            </w:r>
          </w:p>
        </w:tc>
        <w:tc>
          <w:tcPr>
            <w:tcW w:type="dxa" w:w="2835"/>
            <w:vAlign w:val="center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微软雅黑" w:ascii="微软雅黑"/>
              </w:rPr>
              <w:t>logo 植入方式</w:t>
            </w:r>
          </w:p>
        </w:tc>
        <w:tc>
          <w:tcPr>
            <w:tcW w:type="dxa" w:w="2721"/>
            <w:vAlign w:val="center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微软雅黑" w:ascii="微软雅黑"/>
              </w:rPr>
              <w:t>尺寸建议</w:t>
            </w:r>
          </w:p>
        </w:tc>
        <w:tc>
          <w:tcPr>
            <w:tcW w:type="dxa" w:w="1701"/>
            <w:vAlign w:val="center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微软雅黑" w:ascii="微软雅黑"/>
              </w:rPr>
              <w:t>责任方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1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晚宴 KV 主视觉（背板/LED 大屏）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「晚宴冠名战略合作伙伴 绿城中国 | 绿城·潮鸣外滩」横向锁屏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建议向场地方索取 LED 像素比，常见 1920×1080（16:9）或 6144×1080（横向 LED 条屏）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主办（绿城提供矢量 logo + slogan）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2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席卡（座位卡）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卡面右下角 logo + 一行品牌主张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正面 90×55mm；竖式或横式以场地最终方案为准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主办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3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桌卡（桌号牌）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桌号 + 「绿城·潮鸣外滩 · 晚宴冠名」字样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标准 A5 双面 148×210mm 折立；或亚克力 200×150mm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活动公司印刷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4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菜单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封面整版 logo + 内页页脚 logo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对开 A4（210×285mm）或 285×210mm 单页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活动公司印刷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5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晚宴期间 LED 轮播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项目宣传片 + 静帧画面循环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16:9 1920×1080，30s 宣传片 + 5 张静帧 5s/张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绿城提供素材，主办上屏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6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主持人口播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开宴鸣谢 + 川总宣讲引荐 + 散场再次鸣谢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口播稿 3 段，每段约 30 秒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主办 + 绿城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7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晚宴桌花卡 / 餐巾纸条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（可选）项目主 slogan 烫金字条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150×30mm 条形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活动公司</w:t>
            </w:r>
          </w:p>
        </w:tc>
      </w:tr>
    </w:tbl>
    <w:p>
      <w:pPr>
        <w:spacing w:line="336" w:lineRule="auto"/>
        <w:ind w:firstLine="420"/>
      </w:pPr>
      <w:r>
        <w:rPr>
          <w:b w:val="0"/>
          <w:color w:val="555555"/>
          <w:sz w:val="20"/>
          <w:rFonts w:eastAsia="微软雅黑" w:ascii="微软雅黑"/>
        </w:rPr>
        <w:t>说明：席卡 + 晚宴 KV 由主办方统一加上「晚宴冠名战略合作伙伴：绿城中国 | 绿城·潮鸣外滩」字样及 logo；桌卡（桌号）、菜单的项目 logo 植入由活动公司印刷单位负责；其他手册类物料（议程手册、白皮书、手拎袋折页等）由主办方统一在印刷端植入。</w:t>
      </w:r>
    </w:p>
    <w:p>
      <w:r>
        <w:rPr>
          <w:b/>
          <w:color w:val="1A1A1A"/>
          <w:sz w:val="26"/>
          <w:rFonts w:eastAsia="微软雅黑" w:ascii="微软雅黑"/>
        </w:rPr>
        <w:t>3.2 视频与 PPT 尺寸建议（待场地方最终确认像素比后微调）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84"/>
            <w:vAlign w:val="center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微软雅黑" w:ascii="微软雅黑"/>
              </w:rPr>
              <w:t>素材类型</w:t>
            </w:r>
          </w:p>
        </w:tc>
        <w:tc>
          <w:tcPr>
            <w:tcW w:type="dxa" w:w="1701"/>
            <w:vAlign w:val="center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微软雅黑" w:ascii="微软雅黑"/>
              </w:rPr>
              <w:t>推荐比例</w:t>
            </w:r>
          </w:p>
        </w:tc>
        <w:tc>
          <w:tcPr>
            <w:tcW w:type="dxa" w:w="2551"/>
            <w:vAlign w:val="center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微软雅黑" w:ascii="微软雅黑"/>
              </w:rPr>
              <w:t>推荐分辨率</w:t>
            </w:r>
          </w:p>
        </w:tc>
        <w:tc>
          <w:tcPr>
            <w:tcW w:type="dxa" w:w="1701"/>
            <w:vAlign w:val="center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微软雅黑" w:ascii="微软雅黑"/>
              </w:rPr>
              <w:t>时长 / 帧率</w:t>
            </w:r>
          </w:p>
        </w:tc>
        <w:tc>
          <w:tcPr>
            <w:tcW w:type="dxa" w:w="1984"/>
            <w:vAlign w:val="center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微软雅黑" w:ascii="微软雅黑"/>
              </w:rPr>
              <w:t>备注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主会场宣传片（轮播）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16:9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1920×1080（4K 备份 3840×2160）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≤ 60s，25/30 fps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已与主办确认主会场 16:9 无问题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晚宴 LED 宣传片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16:9 横屏（如条屏另出 6144×1080）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1920×1080，H.264 .mp4 ≤ 200MB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30–60s 循环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请场地方提供准确像素比与刷新率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川总专场宣讲 PPT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16:9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1920×1080 (40cm×22.5cm)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≤ 25 张，控制 15 分钟内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建议预留封面/封底/项目沙盘 3D 页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晚宴 KV 主视觉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依场地像素比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建议先按 1920×1080 出主稿，再按场地比例延展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静帧 PNG/JPG + 矢量源文件 AI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导出 RGB 色域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项目 logo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矢量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AI / EPS / SVG（无白底）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—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同时提供 PNG 透明底 4 套尺寸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户型折页（285/310）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印刷品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印刷 297×210mm 三折页；出血 3mm；CMYK，300 dpi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—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由印刷单位统一排版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项目易拉宝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印刷品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800×2000mm，出血 5mm，CMYK，150 dpi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—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电梯口 + 展场内各 1 组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朋友圈九宫格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1:1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1080×1080 PNG，9 张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—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媒体组统一发布，绿城同步素材</w:t>
            </w:r>
          </w:p>
        </w:tc>
      </w:tr>
    </w:tbl>
    <w:p>
      <w:r>
        <w:rPr>
          <w:b/>
          <w:color w:val="006B3F"/>
          <w:sz w:val="32"/>
          <w:rFonts w:eastAsia="微软雅黑" w:ascii="微软雅黑"/>
        </w:rPr>
        <w:t>四、现场展位与动线设计</w:t>
      </w:r>
    </w:p>
    <w:p>
      <w:pPr>
        <w:spacing w:line="336" w:lineRule="auto"/>
      </w:pPr>
      <w:r>
        <w:rPr>
          <w:b/>
          <w:color w:val="1A1A1A"/>
          <w:sz w:val="23"/>
          <w:rFonts w:eastAsia="微软雅黑" w:ascii="微软雅黑"/>
        </w:rPr>
        <w:t>4.1 展位布置（共 2 处）</w:t>
      </w:r>
    </w:p>
    <w:p>
      <w:pPr>
        <w:pStyle w:val="ListBullet"/>
        <w:spacing w:line="336" w:lineRule="auto"/>
      </w:pPr>
      <w:r>
        <w:rPr>
          <w:sz w:val="21"/>
          <w:rFonts w:eastAsia="微软雅黑" w:ascii="微软雅黑"/>
        </w:rPr>
        <w:t>电梯口展位：嘉宾抵达第一触点。配置 1 张品牌桌台（含轻包装）、2 个易拉宝、户型折页/纸质物料展示架、销售 2 人（着统一品牌服装，胸卡）。</w:t>
      </w:r>
    </w:p>
    <w:p>
      <w:pPr>
        <w:pStyle w:val="ListBullet"/>
        <w:spacing w:line="336" w:lineRule="auto"/>
      </w:pPr>
      <w:r>
        <w:rPr>
          <w:sz w:val="21"/>
          <w:rFonts w:eastAsia="微软雅黑" w:ascii="微软雅黑"/>
        </w:rPr>
        <w:t>展场内展位：主会场前厅近茶歇区。配置 1 张洽谈圆桌、2 个易拉宝、285/310 户型 KT 板 1 组、销售 2 人，承接现场意向客户登记。</w:t>
      </w:r>
    </w:p>
    <w:p>
      <w:pPr>
        <w:pStyle w:val="ListBullet"/>
        <w:spacing w:line="336" w:lineRule="auto"/>
      </w:pPr>
      <w:r>
        <w:rPr>
          <w:sz w:val="21"/>
          <w:rFonts w:eastAsia="微软雅黑" w:ascii="微软雅黑"/>
        </w:rPr>
        <w:t>由于设计制作时间仅 1 天，保底交付：4 个易拉宝 + 2 张品牌桌台轻包装 + 项目纸质物料；如设计时间允许，升级背景挂幔/KT 板背景墙。</w:t>
      </w:r>
    </w:p>
    <w:p>
      <w:pPr>
        <w:spacing w:line="336" w:lineRule="auto"/>
      </w:pPr>
      <w:r>
        <w:rPr>
          <w:b/>
          <w:color w:val="1A1A1A"/>
          <w:sz w:val="23"/>
          <w:rFonts w:eastAsia="微软雅黑" w:ascii="微软雅黑"/>
        </w:rPr>
        <w:t>4.2 主会场植入</w:t>
      </w:r>
    </w:p>
    <w:p>
      <w:pPr>
        <w:pStyle w:val="ListBullet"/>
        <w:spacing w:line="336" w:lineRule="auto"/>
      </w:pPr>
      <w:r>
        <w:rPr>
          <w:sz w:val="21"/>
          <w:rFonts w:eastAsia="微软雅黑" w:ascii="微软雅黑"/>
        </w:rPr>
        <w:t>主背景板：钻石级 logo 位（已含在权益内），同时晚宴冠名身份在会议结束后切换为「晚宴冠名战略合作伙伴」副标题位。</w:t>
      </w:r>
    </w:p>
    <w:p>
      <w:pPr>
        <w:pStyle w:val="ListBullet"/>
        <w:spacing w:line="336" w:lineRule="auto"/>
      </w:pPr>
      <w:r>
        <w:rPr>
          <w:sz w:val="21"/>
          <w:rFonts w:eastAsia="微软雅黑" w:ascii="微软雅黑"/>
        </w:rPr>
        <w:t>宣传片：嘉宾入场及中场休息时段在主舞台 LED 16:9 轮播绿城·潮鸣外滩项目宣传片。</w:t>
      </w:r>
    </w:p>
    <w:p>
      <w:pPr>
        <w:pStyle w:val="ListBullet"/>
        <w:spacing w:line="336" w:lineRule="auto"/>
      </w:pPr>
      <w:r>
        <w:rPr>
          <w:sz w:val="21"/>
          <w:rFonts w:eastAsia="微软雅黑" w:ascii="微软雅黑"/>
        </w:rPr>
        <w:t>手拎袋：500 份手拎袋内统一植入项目折页 + 285/310 户型图（双折页或三折页），由印刷单位与活动公司对接装袋。</w:t>
      </w:r>
    </w:p>
    <w:p>
      <w:pPr>
        <w:spacing w:line="336" w:lineRule="auto"/>
      </w:pPr>
      <w:r>
        <w:rPr>
          <w:b/>
          <w:color w:val="1A1A1A"/>
          <w:sz w:val="23"/>
          <w:rFonts w:eastAsia="微软雅黑" w:ascii="微软雅黑"/>
        </w:rPr>
        <w:t>4.3 论坛 → 晚宴衔接 &amp; 项目到访动线</w:t>
      </w:r>
    </w:p>
    <w:p>
      <w:pPr>
        <w:pStyle w:val="ListBullet"/>
        <w:spacing w:line="336" w:lineRule="auto"/>
      </w:pPr>
      <w:r>
        <w:rPr>
          <w:sz w:val="21"/>
          <w:rFonts w:eastAsia="微软雅黑" w:ascii="微软雅黑"/>
        </w:rPr>
        <w:t>17:55–18:10 颁奖典礼结束后，主持人口播「感谢晚宴冠名战略合作伙伴 绿城中国 · 绿城·潮鸣外滩，欢迎嘉宾前往项目案场实地体验」。</w:t>
      </w:r>
    </w:p>
    <w:p>
      <w:pPr>
        <w:pStyle w:val="ListBullet"/>
        <w:spacing w:line="336" w:lineRule="auto"/>
      </w:pPr>
      <w:r>
        <w:rPr>
          <w:sz w:val="21"/>
          <w:rFonts w:eastAsia="微软雅黑" w:ascii="微软雅黑"/>
        </w:rPr>
        <w:t>现场设引导员 3 名，引导意向嘉宾至电梯口尊界车队登车。</w:t>
      </w:r>
    </w:p>
    <w:p>
      <w:pPr>
        <w:pStyle w:val="ListBullet"/>
        <w:spacing w:line="336" w:lineRule="auto"/>
      </w:pPr>
      <w:r>
        <w:rPr>
          <w:sz w:val="21"/>
          <w:rFonts w:eastAsia="微软雅黑" w:ascii="微软雅黑"/>
        </w:rPr>
        <w:t>华为尊界接驳 8–10 辆 + 考斯特补位，往返时间预估 60–90 分钟。</w:t>
      </w:r>
    </w:p>
    <w:p>
      <w:pPr>
        <w:pStyle w:val="ListBullet"/>
        <w:spacing w:line="336" w:lineRule="auto"/>
      </w:pPr>
      <w:r>
        <w:rPr>
          <w:sz w:val="21"/>
          <w:rFonts w:eastAsia="微软雅黑" w:ascii="微软雅黑"/>
        </w:rPr>
        <w:t>案场接待：项目售楼处沙盘讲解 20 分钟 + 样板间参观 20 分钟，结束后由尊界车队送回晚宴现场。</w:t>
      </w:r>
    </w:p>
    <w:p>
      <w:r>
        <w:rPr>
          <w:b/>
          <w:color w:val="1A1A1A"/>
          <w:sz w:val="26"/>
          <w:rFonts w:eastAsia="微软雅黑" w:ascii="微软雅黑"/>
        </w:rPr>
        <w:t>4.4 关于「项目参观与晚宴衔接时间紧张」的处理建议</w:t>
      </w:r>
    </w:p>
    <w:p>
      <w:pPr>
        <w:spacing w:line="336" w:lineRule="auto"/>
        <w:ind w:firstLine="420"/>
      </w:pPr>
      <w:r>
        <w:rPr>
          <w:b w:val="0"/>
          <w:color w:val="1A1A1A"/>
          <w:sz w:val="21"/>
          <w:rFonts w:eastAsia="微软雅黑" w:ascii="微软雅黑"/>
        </w:rPr>
        <w:t>经测算，往返车程 + 案场参观 ≥ 60 分钟，与现版本议程（17:55 颁奖结束 → 18:10 晚宴开始）存在 45 分钟以上的时间冲突。建议主办方与活动公司沟通采取以下任一方案：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17"/>
            <w:vAlign w:val="center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微软雅黑" w:ascii="微软雅黑"/>
              </w:rPr>
              <w:t>方案</w:t>
            </w:r>
          </w:p>
        </w:tc>
        <w:tc>
          <w:tcPr>
            <w:tcW w:type="dxa" w:w="5386"/>
            <w:vAlign w:val="center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微软雅黑" w:ascii="微软雅黑"/>
              </w:rPr>
              <w:t>做法</w:t>
            </w:r>
          </w:p>
        </w:tc>
        <w:tc>
          <w:tcPr>
            <w:tcW w:type="dxa" w:w="2835"/>
            <w:vAlign w:val="center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微软雅黑" w:ascii="微软雅黑"/>
              </w:rPr>
              <w:t>优劣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方案 A · 推荐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现场参观调整为「会后专场」：18:10–20:30 晚宴期间正常进行项目宣讲与轮播；20:30 晚宴结束后，由尊界车队直接将意向嘉宾送至项目案场进行夜场参观（灯光秀+样板间），再分送回酒店。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优势：不打断现有议程；项目方夜场氛围更具记忆点；尊界车队利用率高。劣势：嘉宾时间较晚，需提前确认意向名单。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方案 B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议程内插入「项目专场参观」：把 17:55 颁奖结束后到晚宴开始之间拉长为 90 分钟参观窗口，将晚宴推迟到 19:30 开始。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优势：参观时间充裕。劣势：影响主办原议程及晚宴餐厅档期，需主办方协调。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方案 C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「云参观 + 邀约到访」：晚宴期间用 3D VR 沙盘 + 川总 15 分钟现场宣讲完成线上参观；现场提供「次日专车到访」预约登记。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优势：完全不影响议程；可批量收集意向客户。劣势：现场参观感受弱，更像招商方式。</w:t>
            </w:r>
          </w:p>
        </w:tc>
      </w:tr>
    </w:tbl>
    <w:p>
      <w:pPr>
        <w:spacing w:line="336" w:lineRule="auto"/>
        <w:ind w:firstLine="420"/>
      </w:pPr>
      <w:r>
        <w:rPr>
          <w:b w:val="0"/>
          <w:color w:val="555555"/>
          <w:sz w:val="20"/>
          <w:rFonts w:eastAsia="微软雅黑" w:ascii="微软雅黑"/>
        </w:rPr>
        <w:t>建议方案 A 作为首选；最终时间窗以主办、活动公司、绿城三方在 5 月 19 日前确认为准，绿城据此安排尊界车队与案场接待人员。</w:t>
      </w:r>
    </w:p>
    <w:p>
      <w:r>
        <w:rPr>
          <w:b/>
          <w:color w:val="006B3F"/>
          <w:sz w:val="32"/>
          <w:rFonts w:eastAsia="微软雅黑" w:ascii="微软雅黑"/>
        </w:rPr>
        <w:t>五、晚宴现场流程脚本（建议版）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vAlign w:val="center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微软雅黑" w:ascii="微软雅黑"/>
              </w:rPr>
              <w:t>时间</w:t>
            </w:r>
          </w:p>
        </w:tc>
        <w:tc>
          <w:tcPr>
            <w:tcW w:type="dxa" w:w="2154"/>
            <w:vAlign w:val="center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微软雅黑" w:ascii="微软雅黑"/>
              </w:rPr>
              <w:t>环节</w:t>
            </w:r>
          </w:p>
        </w:tc>
        <w:tc>
          <w:tcPr>
            <w:tcW w:type="dxa" w:w="4252"/>
            <w:vAlign w:val="center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微软雅黑" w:ascii="微软雅黑"/>
              </w:rPr>
              <w:t>内容 / 物料</w:t>
            </w:r>
          </w:p>
        </w:tc>
        <w:tc>
          <w:tcPr>
            <w:tcW w:type="dxa" w:w="2098"/>
            <w:vAlign w:val="center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微软雅黑" w:ascii="微软雅黑"/>
              </w:rPr>
              <w:t>音视频需求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18:00–18:10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嘉宾入场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晚宴 KV 主视觉点亮；席卡引位；项目宣传片轮播（无声/低音乐）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LED 16:9 视频；背景音乐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18:10–18:15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主持人开场 + 冠名鸣谢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主持人口播「晚宴冠名战略合作伙伴：绿城中国 | 绿城·潮鸣外滩」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话筒×2（手持/领夹各 1）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18:15–18:30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川总「绿城·潮鸣外滩」专场宣讲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项目 PPT 15 分钟 + Q&amp;A 5 分钟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1080P 16:9 PPT；话筒×1；切换器准备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18:30–18:35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联合祝酒辞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主办 + 绿城联合致酒辞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话筒×2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18:35–19:30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正餐第一轮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项目宣传片循环；菜单植入 logo；桌卡植入 logo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宣传片循环；背景音乐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19:30–20:00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圈层社交 + 校友联盟介绍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插入「双校长三角校友产业联盟」介绍片；绿城战略合作伙伴永久入册仪式（牌匾交接）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LED 视频；摄影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20:00–20:25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正餐第二轮 / 自由交流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项目销售在场内进行 1V1 沟通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背景音乐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20:25–20:30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结束鸣谢 &amp; 引导到访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主持人再次口播鸣谢；引导意向嘉宾至尊界车队</w:t>
            </w:r>
          </w:p>
        </w:tc>
        <w:tc>
          <w:tcPr>
            <w:tcW w:type="dxa" w:w="209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话筒×1</w:t>
            </w:r>
          </w:p>
        </w:tc>
      </w:tr>
    </w:tbl>
    <w:p>
      <w:r>
        <w:rPr>
          <w:b/>
          <w:color w:val="006B3F"/>
          <w:sz w:val="32"/>
          <w:rFonts w:eastAsia="微软雅黑" w:ascii="微软雅黑"/>
        </w:rPr>
        <w:t>六、宣发与回执</w:t>
      </w:r>
    </w:p>
    <w:p>
      <w:pPr>
        <w:pStyle w:val="ListBullet"/>
        <w:spacing w:line="336" w:lineRule="auto"/>
      </w:pPr>
      <w:r>
        <w:rPr>
          <w:sz w:val="21"/>
          <w:rFonts w:eastAsia="微软雅黑" w:ascii="微软雅黑"/>
        </w:rPr>
        <w:t>媒体通稿：标题级或副标题级出现「绿城·潮鸣外滩」+ 晚宴冠名身份；主流财经/地产头部媒体不少于 5 家。</w:t>
      </w:r>
    </w:p>
    <w:p>
      <w:pPr>
        <w:pStyle w:val="ListBullet"/>
        <w:spacing w:line="336" w:lineRule="auto"/>
      </w:pPr>
      <w:r>
        <w:rPr>
          <w:sz w:val="21"/>
          <w:rFonts w:eastAsia="微软雅黑" w:ascii="微软雅黑"/>
        </w:rPr>
        <w:t>朋友圈九宫格：晚宴现场 9 张视觉，至少 3 张含项目 logo / KV，文案口径与绿城品牌部对齐。</w:t>
      </w:r>
    </w:p>
    <w:p>
      <w:pPr>
        <w:pStyle w:val="ListBullet"/>
        <w:spacing w:line="336" w:lineRule="auto"/>
      </w:pPr>
      <w:r>
        <w:rPr>
          <w:sz w:val="21"/>
          <w:rFonts w:eastAsia="微软雅黑" w:ascii="微软雅黑"/>
        </w:rPr>
        <w:t>白皮书：扉页联合署名「晚宴冠名战略合作伙伴 绿城中国 · 绿城·潮鸣外滩」。</w:t>
      </w:r>
    </w:p>
    <w:p>
      <w:pPr>
        <w:pStyle w:val="ListBullet"/>
        <w:spacing w:line="336" w:lineRule="auto"/>
      </w:pPr>
      <w:r>
        <w:rPr>
          <w:sz w:val="21"/>
          <w:rFonts w:eastAsia="微软雅黑" w:ascii="微软雅黑"/>
        </w:rPr>
        <w:t>回顾视频：片头 3s 鸣谢、片尾 logo 墙重点位、川总宣讲及参观画面剪入。</w:t>
      </w:r>
    </w:p>
    <w:p>
      <w:pPr>
        <w:pStyle w:val="ListBullet"/>
        <w:spacing w:line="336" w:lineRule="auto"/>
      </w:pPr>
      <w:r>
        <w:rPr>
          <w:sz w:val="21"/>
          <w:rFonts w:eastAsia="微软雅黑" w:ascii="微软雅黑"/>
        </w:rPr>
        <w:t>大会后 7 个自然日内，由主办向绿城出具《赞助权益执行回执》，附现场图片、媒体链接、嘉宾合影等证明材料。</w:t>
      </w:r>
    </w:p>
    <w:p>
      <w:r>
        <w:rPr>
          <w:b/>
          <w:color w:val="006B3F"/>
          <w:sz w:val="32"/>
          <w:rFonts w:eastAsia="微软雅黑" w:ascii="微软雅黑"/>
        </w:rPr>
        <w:t>七、时间节点 Timeline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vAlign w:val="center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微软雅黑" w:ascii="微软雅黑"/>
              </w:rPr>
              <w:t>日期</w:t>
            </w:r>
          </w:p>
        </w:tc>
        <w:tc>
          <w:tcPr>
            <w:tcW w:type="dxa" w:w="1984"/>
            <w:vAlign w:val="center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微软雅黑" w:ascii="微软雅黑"/>
              </w:rPr>
              <w:t>节点</w:t>
            </w:r>
          </w:p>
        </w:tc>
        <w:tc>
          <w:tcPr>
            <w:tcW w:type="dxa" w:w="3118"/>
            <w:vAlign w:val="center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微软雅黑" w:ascii="微软雅黑"/>
              </w:rPr>
              <w:t>绿城方</w:t>
            </w:r>
          </w:p>
        </w:tc>
        <w:tc>
          <w:tcPr>
            <w:tcW w:type="dxa" w:w="3402"/>
            <w:vAlign w:val="center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微软雅黑" w:ascii="微软雅黑"/>
              </w:rPr>
              <w:t>主办 / 活动公司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5/18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确认合作框架及金额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盖章合同回传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出具盖章合同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5/19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物料源文件交付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提供 logo（AI/EPS/PNG）、项目宣传片、川总宣讲 PPT、户型折页源文件、品牌简介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提供晚宴 KV、桌卡、菜单、席卡设计稿初稿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5/20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设计稿确认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确认设计稿一轮，提出修改意见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完成印刷物料终稿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5/21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印刷下单 &amp; 物流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—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桌卡、菜单、易拉宝、户型折页全部下印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5/22 上午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现场布展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销售 4 人到场对接展位包装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活动公司完成展位、KV、LED 调试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5/22 全天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大会执行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执行+陪同+案场对接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执行+主持口播+宣传片轮播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5/23–5/29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宣发 &amp; 回执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同步绿城自媒体矩阵传播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通稿/九宫格发布；7 日内出回执</w:t>
            </w:r>
          </w:p>
        </w:tc>
      </w:tr>
    </w:tbl>
    <w:p>
      <w:r>
        <w:rPr>
          <w:b/>
          <w:color w:val="006B3F"/>
          <w:sz w:val="32"/>
          <w:rFonts w:eastAsia="微软雅黑" w:ascii="微软雅黑"/>
        </w:rPr>
        <w:t>八、付款与发票</w:t>
      </w:r>
    </w:p>
    <w:p>
      <w:pPr>
        <w:pStyle w:val="ListBullet"/>
        <w:spacing w:line="336" w:lineRule="auto"/>
      </w:pPr>
      <w:r>
        <w:rPr>
          <w:sz w:val="21"/>
          <w:rFonts w:eastAsia="微软雅黑" w:ascii="微软雅黑"/>
        </w:rPr>
        <w:t>赞助金额：人民币 100,000 元（壹拾万元整）。</w:t>
      </w:r>
    </w:p>
    <w:p>
      <w:pPr>
        <w:pStyle w:val="ListBullet"/>
        <w:spacing w:line="336" w:lineRule="auto"/>
      </w:pPr>
      <w:r>
        <w:rPr>
          <w:sz w:val="21"/>
          <w:rFonts w:eastAsia="微软雅黑" w:ascii="微软雅黑"/>
        </w:rPr>
        <w:t>支付方式：合同签订后 5 个工作日内一次性付款至主办方指定账户。</w:t>
      </w:r>
    </w:p>
    <w:p>
      <w:pPr>
        <w:pStyle w:val="ListBullet"/>
        <w:spacing w:line="336" w:lineRule="auto"/>
      </w:pPr>
      <w:r>
        <w:rPr>
          <w:sz w:val="21"/>
          <w:rFonts w:eastAsia="微软雅黑" w:ascii="微软雅黑"/>
        </w:rPr>
        <w:t>发票内容：会议服务费 / 赞助费，开具等额合法有效增值税普通发票或专用发票。</w:t>
      </w:r>
    </w:p>
    <w:p>
      <w:pPr>
        <w:pStyle w:val="ListBullet"/>
        <w:spacing w:line="336" w:lineRule="auto"/>
      </w:pPr>
      <w:r>
        <w:rPr>
          <w:sz w:val="21"/>
          <w:rFonts w:eastAsia="微软雅黑" w:ascii="微软雅黑"/>
        </w:rPr>
        <w:t>执行依据：参照《2026 人工智能商业化落地与硬核投资破局峰会赞助合作协议》及其《附件一·赞助权益清单》，本方案作为定制权益的执行细则附件。</w:t>
      </w:r>
    </w:p>
    <w:p>
      <w:r>
        <w:rPr>
          <w:b/>
          <w:color w:val="006B3F"/>
          <w:sz w:val="32"/>
          <w:rFonts w:eastAsia="微软雅黑" w:ascii="微软雅黑"/>
        </w:rPr>
        <w:t>九、对接人 Contact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984"/>
            <w:vAlign w:val="center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微软雅黑" w:ascii="微软雅黑"/>
              </w:rPr>
              <w:t>角色</w:t>
            </w:r>
          </w:p>
        </w:tc>
        <w:tc>
          <w:tcPr>
            <w:tcW w:type="dxa" w:w="3118"/>
            <w:vAlign w:val="center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微软雅黑" w:ascii="微软雅黑"/>
              </w:rPr>
              <w:t>对接事项</w:t>
            </w:r>
          </w:p>
        </w:tc>
        <w:tc>
          <w:tcPr>
            <w:tcW w:type="dxa" w:w="2551"/>
            <w:vAlign w:val="center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微软雅黑" w:ascii="微软雅黑"/>
              </w:rPr>
              <w:t>对接人</w:t>
            </w:r>
          </w:p>
        </w:tc>
        <w:tc>
          <w:tcPr>
            <w:tcW w:type="dxa" w:w="1984"/>
            <w:vAlign w:val="center"/>
            <w:shd w:val="clear" w:color="auto" w:fill="006B3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  <w:rFonts w:eastAsia="微软雅黑" w:ascii="微软雅黑"/>
              </w:rPr>
              <w:t>备注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绿城方·总对接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整体方案、付款、合同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Aiden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合作框架内植入物料对接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绿城方·项目宣讲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川总专场 PPT、品牌口径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川总团队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确认 PPT 终稿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绿城方·现场销售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电梯口 &amp; 展场内 2 处展位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销售负责人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销售 4 人，统一物料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主办·组委会招商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权益落地、媒体宣发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组委会招商组 13262607888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微信 13262607888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主办·现场执行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场地、KV、印刷、流程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wangsheng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确认晚宴 KV 像素比、印刷物料植入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活动公司·印刷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桌卡、菜单、手册物料 logo 植入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印刷负责人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b w:val="0"/>
                <w:color w:val="1A1A1A"/>
                <w:sz w:val="20"/>
                <w:rFonts w:eastAsia="微软雅黑" w:ascii="微软雅黑"/>
              </w:rPr>
              <w:t>5/21 前完成印刷</w:t>
            </w:r>
          </w:p>
        </w:tc>
      </w:tr>
    </w:tbl>
    <w:p>
      <w:pPr>
        <w:spacing w:line="336" w:lineRule="auto"/>
      </w:pPr>
      <w:r>
        <w:rPr>
          <w:b w:val="0"/>
          <w:color w:val="1A1A1A"/>
          <w:sz w:val="16"/>
          <w:rFonts w:eastAsia="微软雅黑" w:ascii="微软雅黑"/>
        </w:rPr>
        <w:t xml:space="preserve"> </w:t>
      </w:r>
    </w:p>
    <w:p>
      <w:pPr>
        <w:spacing w:line="336" w:lineRule="auto"/>
        <w:jc w:val="center"/>
      </w:pPr>
      <w:r>
        <w:rPr>
          <w:b w:val="0"/>
          <w:color w:val="555555"/>
          <w:sz w:val="18"/>
          <w:rFonts w:eastAsia="微软雅黑" w:ascii="微软雅黑"/>
        </w:rPr>
        <w:t>本方案为「重构与突围 · 2026 AI 商业化峰会」与绿城中国 · 绿城·潮鸣外滩 10 万元晚宴冠名战略合作伙伴的执行细则，最终以双方签署的赞助合作协议正文及附件为准。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