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142B4A" w:val="clear"/>
            <w:tcBorders>
              <w:top w:val="single" w:sz="0" w:color="142B4A" w:space="0"/>
              <w:left w:val="single" w:sz="0" w:color="142B4A" w:space="0"/>
              <w:bottom w:val="single" w:sz="0" w:color="142B4A" w:space="0"/>
              <w:right w:val="single" w:sz="0" w:color="142B4A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44"/>
              </w:rPr>
              <w:t>胡继刚</w:t>
            </w:r>
            <w:r>
              <w:rPr>
                <w:rFonts w:ascii="微软雅黑" w:hAnsi="微软雅黑" w:eastAsia="微软雅黑"/>
                <w:b w:val="0"/>
                <w:color w:val="E8D5A3"/>
                <w:sz w:val="22"/>
              </w:rPr>
              <w:t xml:space="preserve">    HU Jigang</w:t>
            </w:r>
          </w:p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E8D5A3"/>
                <w:sz w:val="24"/>
              </w:rPr>
              <w:t>产业招商  ·  AI 生态运营  ·  国际化资源对接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color w:val="F0F4F8"/>
                <w:sz w:val="19"/>
              </w:rPr>
              <w:t>复旦大学住房政策研究中心秘书长  ｜  上海市杨浦区科技企业联合会执行会长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C5D0DC"/>
                <w:sz w:val="18"/>
              </w:rPr>
              <w:t>男 ｜ 1987.04 ｜ 上海 ｜ 复旦大学硕士研究生 ｜ 副教授级高级工程师 ｜ 九三学社 ｜ IELTS 6.0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C5D0DC"/>
                <w:sz w:val="18"/>
              </w:rPr>
              <w:t>13262607888  ｜  hujigang2010@gmail.com  ｜  微信 hu13262607888</w:t>
            </w:r>
          </w:p>
        </w:tc>
      </w:tr>
    </w:tbl>
    <w:p>
      <w:pPr>
        <w:spacing w:before="160" w:after="40" w:line="269" w:lineRule="auto"/>
      </w:pPr>
      <w:r>
        <w:rPr>
          <w:rFonts w:ascii="微软雅黑" w:hAnsi="微软雅黑" w:eastAsia="微软雅黑"/>
          <w:b/>
          <w:color w:val="C48A2B"/>
          <w:sz w:val="18"/>
        </w:rPr>
        <w:t xml:space="preserve">求职意向  </w:t>
      </w:r>
      <w:r>
        <w:rPr>
          <w:rFonts w:ascii="微软雅黑" w:hAnsi="微软雅黑" w:eastAsia="微软雅黑"/>
          <w:b w:val="0"/>
          <w:color w:val="142B4A"/>
          <w:sz w:val="19"/>
        </w:rPr>
        <w:t>产业招商 / 政府关系 / 国际化业务与出海对接 / AI 与科创生态运营    上海    薪资面议</w:t>
      </w:r>
    </w:p>
    <w:p>
      <w:pPr>
        <w:spacing w:before="160" w:after="20" w:line="269" w:lineRule="auto"/>
      </w:pPr>
      <w:r>
        <w:rPr>
          <w:rFonts w:ascii="微软雅黑" w:hAnsi="微软雅黑" w:eastAsia="微软雅黑"/>
          <w:b/>
          <w:color w:val="142B4A"/>
          <w:sz w:val="24"/>
        </w:rPr>
        <w:t>职业摘要</w:t>
      </w:r>
    </w:p>
    <w:p>
      <w:pPr>
        <w:spacing w:before="0" w:after="80"/>
        <w:pBdr>
          <w:bottom w:val="single" w:sz="14" w:space="1" w:color="C48A2B"/>
        </w:pBdr>
      </w:pPr>
    </w:p>
    <w:p>
      <w:pPr>
        <w:spacing w:before="0" w:after="40" w:line="283" w:lineRule="auto"/>
      </w:pPr>
      <w:r>
        <w:rPr>
          <w:rFonts w:ascii="微软雅黑" w:hAnsi="微软雅黑" w:eastAsia="微软雅黑"/>
          <w:b w:val="0"/>
          <w:color w:val="444C56"/>
          <w:sz w:val="19"/>
        </w:rPr>
        <w:t>土木本科、复旦大学硕士研究生，15 年不动产投资拓展与政府资源整合经验，历任中南、新城、万科投资岗至区域投资副总经理，熟悉勾地、轻资产输出、代建、收并购与不良资产「募投管退」。2021 年起任职高校智库秘书长，并以杨浦科企联执行会长身份搭建政产学研平台。近两年公开主持/主办人工智能商业化峰会、中国投资者海外不动产主题活动，并共同发起北欧创新国际会客厅，形成「AI 产业化落地 + 企业出海对接 + 政府招商落地」复合能力。公开活动被人民网、新华社、中新社、央广网、上海市人民政府点名。</w:t>
      </w:r>
    </w:p>
    <w:p>
      <w:pPr>
        <w:spacing w:before="160" w:after="20" w:line="269" w:lineRule="auto"/>
      </w:pPr>
      <w:r>
        <w:rPr>
          <w:rFonts w:ascii="微软雅黑" w:hAnsi="微软雅黑" w:eastAsia="微软雅黑"/>
          <w:b/>
          <w:color w:val="142B4A"/>
          <w:sz w:val="24"/>
        </w:rPr>
        <w:t>核心优势：AI × 出海 × 招商</w:t>
      </w:r>
    </w:p>
    <w:p>
      <w:pPr>
        <w:spacing w:before="0" w:after="80"/>
        <w:pBdr>
          <w:bottom w:val="single" w:sz="14" w:space="1" w:color="C48A2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0"/>
            <w:shd w:fill="F4F7FB" w:val="clear"/>
            <w:tcBorders>
              <w:top w:val="single" w:sz="4" w:color="D7DEE8" w:space="0"/>
              <w:left w:val="single" w:sz="4" w:color="D7DEE8" w:space="0"/>
              <w:bottom w:val="single" w:sz="4" w:color="D7DEE8" w:space="0"/>
              <w:right w:val="single" w:sz="4" w:color="D7DEE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0F6B63"/>
                <w:sz w:val="22"/>
              </w:rPr>
              <w:t>▍</w:t>
            </w:r>
            <w:r>
              <w:rPr>
                <w:rFonts w:ascii="微软雅黑" w:hAnsi="微软雅黑" w:eastAsia="微软雅黑"/>
                <w:b/>
                <w:color w:val="142B4A"/>
                <w:sz w:val="20"/>
              </w:rPr>
              <w:t>AI 产业化与生态运营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2026.05 作为主办方代表参与「人工智能商业化落地与硬核投资破局峰会」（约 600 人），主持「从算力引擎到新质资产」圆桌，提出将峰会升级为陪伴科创企业的超级孵化器。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2025.05 联合主办全球新经济增长引擎峰会，议程覆盖 AI 产业链重构与中东/亚太出海投资。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发表《房屋建筑工程人工智能技术的应用》；完成上海交大城市治理数字化转型高研班。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以科企联执行会长身份服务科技企业评审、对接与成长。</w:t>
            </w:r>
          </w:p>
        </w:tc>
        <w:tc>
          <w:tcPr>
            <w:tcW w:type="dxa" w:w="3430"/>
            <w:shd w:fill="F4F7FB" w:val="clear"/>
            <w:tcBorders>
              <w:top w:val="single" w:sz="4" w:color="D7DEE8" w:space="0"/>
              <w:left w:val="single" w:sz="4" w:color="D7DEE8" w:space="0"/>
              <w:bottom w:val="single" w:sz="4" w:color="D7DEE8" w:space="0"/>
              <w:right w:val="single" w:sz="4" w:color="D7DEE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1D4F91"/>
                <w:sz w:val="22"/>
              </w:rPr>
              <w:t>▍</w:t>
            </w:r>
            <w:r>
              <w:rPr>
                <w:rFonts w:ascii="微软雅黑" w:hAnsi="微软雅黑" w:eastAsia="微软雅黑"/>
                <w:b/>
                <w:color w:val="142B4A"/>
                <w:sz w:val="20"/>
              </w:rPr>
              <w:t>出海与国际化对接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2024.06 主持「他山之石——中国投资者的海外不动产战略布局」（锦天城 × 复旦住房政策研究中心）。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2026.03 共同发起「北欧创新国际会客厅」，落户杨浦宝龙旭辉广场环创中心（宝龙商办不是雇主）。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英语商务洽谈 / IELTS 6.0；早期推进美国养老、日本永旺等国际合作对接。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能把高校智库、区级科创组织与涉外法务/产业顾问连成可落地的出海对接场。</w:t>
            </w:r>
          </w:p>
        </w:tc>
        <w:tc>
          <w:tcPr>
            <w:tcW w:type="dxa" w:w="3458"/>
            <w:shd w:fill="F4F7FB" w:val="clear"/>
            <w:tcBorders>
              <w:top w:val="single" w:sz="4" w:color="D7DEE8" w:space="0"/>
              <w:left w:val="single" w:sz="4" w:color="D7DEE8" w:space="0"/>
              <w:bottom w:val="single" w:sz="4" w:color="D7DEE8" w:space="0"/>
              <w:right w:val="single" w:sz="4" w:color="D7DEE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top"/>
          </w:tcPr>
          <w:p>
            <w:pPr>
              <w:spacing w:after="60"/>
            </w:pPr>
            <w:r/>
            <w:r>
              <w:rPr>
                <w:rFonts w:ascii="微软雅黑" w:hAnsi="微软雅黑" w:eastAsia="微软雅黑"/>
                <w:b/>
                <w:color w:val="9A4A12"/>
                <w:sz w:val="22"/>
              </w:rPr>
              <w:t>▍</w:t>
            </w:r>
            <w:r>
              <w:rPr>
                <w:rFonts w:ascii="微软雅黑" w:hAnsi="微软雅黑" w:eastAsia="微软雅黑"/>
                <w:b/>
                <w:color w:val="142B4A"/>
                <w:sz w:val="20"/>
              </w:rPr>
              <w:t>招商与政府资源落地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14 年投资拓展：重资产勾地、轻资产品牌输出、委托代建、股权收并购、法拍与不良资产。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临沂吾悦广场对接市级重点招商政策；万科阶段落地靖江印象城、海宁、镇江大港、金坛及冷链园等。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深耕江浙沪、皖鲁闽政府与国企关系，能独立完成可行性研究与落地协同。</w:t>
            </w:r>
          </w:p>
          <w:p>
            <w:pPr>
              <w:spacing w:after="4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• 现职连接区科企联、高校智库、工商联房地产商会，具备「政策—空间—企业—资本」闭环。</w:t>
            </w:r>
          </w:p>
        </w:tc>
      </w:tr>
    </w:tbl>
    <w:p>
      <w:pPr>
        <w:spacing w:before="160" w:after="20" w:line="269" w:lineRule="auto"/>
      </w:pPr>
      <w:r>
        <w:rPr>
          <w:rFonts w:ascii="微软雅黑" w:hAnsi="微软雅黑" w:eastAsia="微软雅黑"/>
          <w:b/>
          <w:color w:val="142B4A"/>
          <w:sz w:val="24"/>
        </w:rPr>
        <w:t>工作经历</w:t>
      </w:r>
    </w:p>
    <w:p>
      <w:pPr>
        <w:spacing w:before="0" w:after="80"/>
        <w:pBdr>
          <w:bottom w:val="single" w:sz="14" w:space="1" w:color="C48A2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703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42B4A"/>
                <w:sz w:val="21"/>
              </w:rPr>
              <w:t>复旦大学住房政策研究中心</w:t>
            </w:r>
            <w:r>
              <w:rPr>
                <w:rFonts w:ascii="微软雅黑" w:hAnsi="微软雅黑" w:eastAsia="微软雅黑"/>
                <w:b w:val="0"/>
                <w:color w:val="5C6773"/>
                <w:sz w:val="19"/>
              </w:rPr>
              <w:t xml:space="preserve">  |  秘书长 / 副教授级高级工程师</w:t>
            </w:r>
          </w:p>
        </w:tc>
        <w:tc>
          <w:tcPr>
            <w:tcW w:type="dxa" w:w="2948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微软雅黑" w:hAnsi="微软雅黑" w:eastAsia="微软雅黑"/>
                <w:b/>
                <w:color w:val="C48A2B"/>
                <w:sz w:val="19"/>
              </w:rPr>
              <w:t>2021.06 – 至今</w:t>
            </w:r>
          </w:p>
        </w:tc>
      </w:tr>
    </w:tbl>
    <w:p>
      <w:pPr>
        <w:spacing w:before="40" w:after="40" w:line="269" w:lineRule="auto"/>
      </w:pPr>
      <w:r>
        <w:rPr>
          <w:rFonts w:ascii="微软雅黑" w:hAnsi="微软雅黑" w:eastAsia="微软雅黑"/>
          <w:b w:val="0"/>
          <w:color w:val="5C6773"/>
          <w:sz w:val="18"/>
        </w:rPr>
        <w:t>兼杨浦区科技企业联合会执行会长、复旦大学不动产资产管理协会创始理事长。牵头城市更新、存量资产与新质产业空间：关注产业如何用空间、政策、资本落地城市。产业方向，不是技术研发岗。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平台：2026.03 北欧创新国际会客厅共同发起，落户杨浦宝龙旭辉广场环创中心。宝龙商办不是雇主。公开活动被人民网、新华社、中新社、央广网、上海市人民政府点名。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AI：2026.05 主办方代表，人工智能商业化落地与硬核投资破局峰会（上海北外滩，600+ 嘉宾）；主持「从算力引擎到新质资产（AI 全产业链商业化实战）」圆桌。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出海 / 招商：2024.06 主持中国投资者海外不动产战略布局主题活动；2025.05 联合主办全球新经济增长引擎峰会并参加房地产×资本×产业圆桌。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703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42B4A"/>
                <w:sz w:val="21"/>
              </w:rPr>
              <w:t>万科企业股份有限公司 · 上海区域</w:t>
            </w:r>
            <w:r>
              <w:rPr>
                <w:rFonts w:ascii="微软雅黑" w:hAnsi="微软雅黑" w:eastAsia="微软雅黑"/>
                <w:b w:val="0"/>
                <w:color w:val="5C6773"/>
                <w:sz w:val="19"/>
              </w:rPr>
              <w:t xml:space="preserve">  |  江浙事业部投资副总经理</w:t>
            </w:r>
          </w:p>
        </w:tc>
        <w:tc>
          <w:tcPr>
            <w:tcW w:type="dxa" w:w="2948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微软雅黑" w:hAnsi="微软雅黑" w:eastAsia="微软雅黑"/>
                <w:b/>
                <w:color w:val="C48A2B"/>
                <w:sz w:val="19"/>
              </w:rPr>
              <w:t>2017.03 – 2021.06</w:t>
            </w:r>
          </w:p>
        </w:tc>
      </w:tr>
    </w:tbl>
    <w:p>
      <w:pPr>
        <w:spacing w:before="40" w:after="40" w:line="269" w:lineRule="auto"/>
      </w:pPr>
      <w:r>
        <w:rPr>
          <w:rFonts w:ascii="微软雅黑" w:hAnsi="微软雅黑" w:eastAsia="微软雅黑"/>
          <w:b w:val="0"/>
          <w:color w:val="5C6773"/>
          <w:sz w:val="18"/>
        </w:rPr>
        <w:t>上海 · 汇报投资合作开发部总经理 · 团队约 8 人。深耕江浙未进入城市，负责策略勾地、收并购、债务重组与不良资产处置。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镇江大港金域蓝湾：收并购，与大港集团各半合作（约 199 亩 / 32 万方）。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嘉兴海宁商住：政府代建落地（18.53 亿元 / 约 23 万㎡，配建安置房）。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上海龙湖滟澜山：法拍不良资产盘活（测算 IRR 约 16.16%）。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靖江印象城：勾地 + 印力委管（约 15 亿元 / 556 亩 / 购物中心约 7 万方）；金坛理想城收并购 + 债务重组，底价获取（约 28.05 亿元 / 561 亩）。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主导落地万纬嘉兴平湖（嘉兴首个高标准自动化冷链园）、上海奉贤南桥冷链园；推动进入盐城、台州、常州金坛。</w:t>
      </w:r>
    </w:p>
    <w:p>
      <w:r>
        <w:br w:type="page"/>
      </w:r>
    </w:p>
    <w:p>
      <w:pPr>
        <w:spacing w:before="160" w:after="20" w:line="269" w:lineRule="auto"/>
      </w:pPr>
      <w:r>
        <w:rPr>
          <w:rFonts w:ascii="微软雅黑" w:hAnsi="微软雅黑" w:eastAsia="微软雅黑"/>
          <w:b/>
          <w:color w:val="142B4A"/>
          <w:sz w:val="24"/>
        </w:rPr>
        <w:t>工作经历（续）</w:t>
      </w:r>
    </w:p>
    <w:p>
      <w:pPr>
        <w:spacing w:before="0" w:after="80"/>
        <w:pBdr>
          <w:bottom w:val="single" w:sz="14" w:space="1" w:color="C48A2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703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42B4A"/>
                <w:sz w:val="21"/>
              </w:rPr>
              <w:t>新城控股集团股份有限公司 · 总部战略投资中心</w:t>
            </w:r>
            <w:r>
              <w:rPr>
                <w:rFonts w:ascii="微软雅黑" w:hAnsi="微软雅黑" w:eastAsia="微软雅黑"/>
                <w:b w:val="0"/>
                <w:color w:val="5C6773"/>
                <w:sz w:val="19"/>
              </w:rPr>
              <w:t xml:space="preserve">  |  投资拓展资深专业经理</w:t>
            </w:r>
          </w:p>
        </w:tc>
        <w:tc>
          <w:tcPr>
            <w:tcW w:type="dxa" w:w="2948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微软雅黑" w:hAnsi="微软雅黑" w:eastAsia="微软雅黑"/>
                <w:b/>
                <w:color w:val="C48A2B"/>
                <w:sz w:val="19"/>
              </w:rPr>
              <w:t>2015.11 – 2017.02</w:t>
            </w:r>
          </w:p>
        </w:tc>
      </w:tr>
    </w:tbl>
    <w:p>
      <w:pPr>
        <w:spacing w:before="40" w:after="40" w:line="269" w:lineRule="auto"/>
      </w:pPr>
      <w:r>
        <w:rPr>
          <w:rFonts w:ascii="微软雅黑" w:hAnsi="微软雅黑" w:eastAsia="微软雅黑"/>
          <w:b w:val="0"/>
          <w:color w:val="5C6773"/>
          <w:sz w:val="18"/>
        </w:rPr>
        <w:t>上海。负责山东、江苏等区域战略布局与土地获取。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主导临沂新城吾悦广场勾地，对接市级重点招商政策，系集团首进山东的重资产项目。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以轻资产模式获取青岛新城吾悦广场（品牌输出 + 委管，约 13.68 万㎡）。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703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42B4A"/>
                <w:sz w:val="21"/>
              </w:rPr>
              <w:t>中南建设集团 / 中南控股集团</w:t>
            </w:r>
            <w:r>
              <w:rPr>
                <w:rFonts w:ascii="微软雅黑" w:hAnsi="微软雅黑" w:eastAsia="微软雅黑"/>
                <w:b w:val="0"/>
                <w:color w:val="5C6773"/>
                <w:sz w:val="19"/>
              </w:rPr>
              <w:t xml:space="preserve">  |  投资拓展经理 / 战略企划管理主管</w:t>
            </w:r>
          </w:p>
        </w:tc>
        <w:tc>
          <w:tcPr>
            <w:tcW w:type="dxa" w:w="2948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20" w:type="dxa"/>
              <w:right w:w="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微软雅黑" w:hAnsi="微软雅黑" w:eastAsia="微软雅黑"/>
                <w:b/>
                <w:color w:val="C48A2B"/>
                <w:sz w:val="19"/>
              </w:rPr>
              <w:t>2011.06 – 2015.10</w:t>
            </w:r>
          </w:p>
        </w:tc>
      </w:tr>
    </w:tbl>
    <w:p>
      <w:pPr>
        <w:spacing w:before="40" w:after="40" w:line="269" w:lineRule="auto"/>
      </w:pPr>
      <w:r>
        <w:rPr>
          <w:rFonts w:ascii="微软雅黑" w:hAnsi="微软雅黑" w:eastAsia="微软雅黑"/>
          <w:b w:val="0"/>
          <w:color w:val="5C6773"/>
          <w:sz w:val="18"/>
        </w:rPr>
        <w:t>上海 / 南通 · 2011.06–2012.10 总裁办战略企划；其后新项目发展中心。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从集团战略企划到项目投资拓展的完整历练；获取如皋中南世纪城、苏州中南锦苑。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江阴白鹭湾与碧桂园同股同权合作。2014 年底派驻四川任西南拓展负责人。</w:t>
      </w:r>
    </w:p>
    <w:p>
      <w:pPr>
        <w:spacing w:before="0" w:after="32" w:line="269" w:lineRule="auto"/>
        <w:ind w:left="181" w:hanging="181"/>
      </w:pPr>
      <w:r>
        <w:rPr>
          <w:rFonts w:ascii="微软雅黑" w:hAnsi="微软雅黑" w:eastAsia="微软雅黑"/>
          <w:b w:val="0"/>
          <w:color w:val="444C56"/>
          <w:sz w:val="19"/>
        </w:rPr>
        <w:t>•  推进美国养老、日本永旺等国际产业合作对接（推进中，非已签约落地）。</w:t>
      </w:r>
    </w:p>
    <w:p>
      <w:pPr>
        <w:spacing w:before="160" w:after="20" w:line="269" w:lineRule="auto"/>
      </w:pPr>
      <w:r>
        <w:rPr>
          <w:rFonts w:ascii="微软雅黑" w:hAnsi="微软雅黑" w:eastAsia="微软雅黑"/>
          <w:b/>
          <w:color w:val="142B4A"/>
          <w:sz w:val="24"/>
        </w:rPr>
        <w:t>代表项目（招商 / 产业落地）</w:t>
      </w:r>
    </w:p>
    <w:p>
      <w:pPr>
        <w:spacing w:before="0" w:after="80"/>
        <w:pBdr>
          <w:bottom w:val="single" w:sz="14" w:space="1" w:color="C48A2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42B4A" w:val="clear"/>
          </w:tcPr>
          <w:p>
            <w:r/>
          </w:p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42B4A" w:val="clear"/>
          </w:tcPr>
          <w:p>
            <w:r/>
          </w:p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142B4A" w:val="clear"/>
          </w:tcPr>
          <w:p>
            <w:r/>
          </w:p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要点</w:t>
            </w:r>
          </w:p>
        </w:tc>
      </w:tr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42B4A"/>
                <w:sz w:val="16"/>
              </w:rPr>
              <w:t>镇江大港金域蓝湾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收并购 + 国企合作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约 199 亩 / 32 万方，与镇江大港集团各半合作</w:t>
            </w:r>
          </w:p>
        </w:tc>
      </w:tr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42B4A"/>
                <w:sz w:val="16"/>
              </w:rPr>
              <w:t>嘉兴海宁商住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政府代建落地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18.53 亿元 / 约 23 万㎡，配建安置房</w:t>
            </w:r>
          </w:p>
        </w:tc>
      </w:tr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42B4A"/>
                <w:sz w:val="16"/>
              </w:rPr>
              <w:t>上海龙湖滟澜山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法拍不良资产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测算 IRR 约 16.16%，特资「募投管退」样本</w:t>
            </w:r>
          </w:p>
        </w:tc>
      </w:tr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42B4A"/>
                <w:sz w:val="16"/>
              </w:rPr>
              <w:t>万科靖江印象城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勾地 + 印力委管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约 15 亿元 / 556 亩 / 购物中心约 7 万方，苏中县市首家印象城</w:t>
            </w:r>
          </w:p>
        </w:tc>
      </w:tr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42B4A"/>
                <w:sz w:val="16"/>
              </w:rPr>
              <w:t>常州金坛理想城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收并购 + 债务重组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约 28.05 亿元、561 亩，底价获取</w:t>
            </w:r>
          </w:p>
        </w:tc>
      </w:tr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42B4A"/>
                <w:sz w:val="16"/>
              </w:rPr>
              <w:t>万纬平湖 / 南桥冷链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产业勾地 / 收购改造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嘉兴首个高标准自动化冷链园；上海奉贤南桥智能化园区</w:t>
            </w:r>
          </w:p>
        </w:tc>
      </w:tr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42B4A"/>
                <w:sz w:val="16"/>
              </w:rPr>
              <w:t>临沂新城吾悦广场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市级重点招商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对接市重点招商政策，集团首进山东的重资产项目</w:t>
            </w:r>
          </w:p>
        </w:tc>
      </w:tr>
      <w:tr>
        <w:tc>
          <w:tcPr>
            <w:tcW w:type="dxa" w:w="2608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42B4A"/>
                <w:sz w:val="16"/>
              </w:rPr>
              <w:t>青岛新城吾悦广场</w:t>
            </w:r>
          </w:p>
        </w:tc>
        <w:tc>
          <w:tcPr>
            <w:tcW w:type="dxa" w:w="2494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轻资产品牌输出</w:t>
            </w:r>
          </w:p>
        </w:tc>
        <w:tc>
          <w:tcPr>
            <w:tcW w:type="dxa" w:w="5216"/>
            <w:tcBorders>
              <w:top w:val="single" w:sz="6" w:color="D7DEE8" w:space="0"/>
              <w:left w:val="single" w:sz="6" w:color="D7DEE8" w:space="0"/>
              <w:bottom w:val="single" w:sz="6" w:color="D7DEE8" w:space="0"/>
              <w:right w:val="single" w:sz="6" w:color="D7DEE8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fill="F4F7FB" w:val="clear"/>
          </w:tcPr>
          <w:p>
            <w:r/>
          </w:p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品牌输出 + 委管，约 13.68 万㎡</w:t>
            </w:r>
          </w:p>
        </w:tc>
      </w:tr>
    </w:tbl>
    <w:p>
      <w:pPr>
        <w:spacing w:before="160" w:after="20" w:line="269" w:lineRule="auto"/>
      </w:pPr>
      <w:r>
        <w:rPr>
          <w:rFonts w:ascii="微软雅黑" w:hAnsi="微软雅黑" w:eastAsia="微软雅黑"/>
          <w:b/>
          <w:color w:val="142B4A"/>
          <w:sz w:val="24"/>
        </w:rPr>
        <w:t>教育、资质与成果</w:t>
      </w:r>
    </w:p>
    <w:p>
      <w:pPr>
        <w:spacing w:before="0" w:after="80"/>
        <w:pBdr>
          <w:bottom w:val="single" w:sz="14" w:space="1" w:color="C48A2B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F4F7FB" w:val="clear"/>
            <w:tcBorders>
              <w:top w:val="single" w:sz="4" w:color="D7DEE8" w:space="0"/>
              <w:left w:val="single" w:sz="4" w:color="D7DEE8" w:space="0"/>
              <w:bottom w:val="single" w:sz="4" w:color="D7DEE8" w:space="0"/>
              <w:right w:val="single" w:sz="4" w:color="D7DEE8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42B4A"/>
                <w:sz w:val="19"/>
              </w:rPr>
              <w:t>教育与培训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2018.09–2021.06  复旦大学硕士研究生（工商管理 / 财务金融）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2007.09–2011.07  中国海洋大学  土木工程  工学学士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上海交大 · 城市治理数字化转型高研班；复旦·怡安人力与风险管理；复旦·花旗银行实践课程</w:t>
            </w:r>
          </w:p>
        </w:tc>
        <w:tc>
          <w:tcPr>
            <w:tcW w:type="dxa" w:w="5159"/>
            <w:shd w:fill="F4F7FB" w:val="clear"/>
            <w:tcBorders>
              <w:top w:val="single" w:sz="4" w:color="D7DEE8" w:space="0"/>
              <w:left w:val="single" w:sz="4" w:color="D7DEE8" w:space="0"/>
              <w:bottom w:val="single" w:sz="4" w:color="D7DEE8" w:space="0"/>
              <w:right w:val="single" w:sz="4" w:color="D7DEE8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42B4A"/>
                <w:sz w:val="19"/>
              </w:rPr>
              <w:t>职称证书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副教授级高级工程师；会计师中级；PMP；上海市住建委项目管理工程师；江苏省机械管理师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IELTS 6.0；普通话一级甲等；BIM；上海市人才引进认证</w:t>
            </w:r>
          </w:p>
        </w:tc>
      </w:tr>
      <w:tr>
        <w:tc>
          <w:tcPr>
            <w:tcW w:type="dxa" w:w="5159"/>
            <w:shd w:fill="F4F7FB" w:val="clear"/>
            <w:tcBorders>
              <w:top w:val="single" w:sz="4" w:color="D7DEE8" w:space="0"/>
              <w:left w:val="single" w:sz="4" w:color="D7DEE8" w:space="0"/>
              <w:bottom w:val="single" w:sz="4" w:color="D7DEE8" w:space="0"/>
              <w:right w:val="single" w:sz="4" w:color="D7DEE8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42B4A"/>
                <w:sz w:val="19"/>
              </w:rPr>
              <w:t>论文与专利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《万科物流地产平台业务发展战略研究》（知网）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《房屋建筑工程人工智能技术的应用》（《住宅与房地产》）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实用新型专利 2 项：建筑工程管理用功能脚架；建筑工程用防护围栏</w:t>
            </w:r>
          </w:p>
        </w:tc>
        <w:tc>
          <w:tcPr>
            <w:tcW w:type="dxa" w:w="5159"/>
            <w:shd w:fill="F4F7FB" w:val="clear"/>
            <w:tcBorders>
              <w:top w:val="single" w:sz="4" w:color="D7DEE8" w:space="0"/>
              <w:left w:val="single" w:sz="4" w:color="D7DEE8" w:space="0"/>
              <w:bottom w:val="single" w:sz="4" w:color="D7DEE8" w:space="0"/>
              <w:right w:val="single" w:sz="4" w:color="D7DEE8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42B4A"/>
                <w:sz w:val="19"/>
              </w:rPr>
              <w:t>社会职务与专家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杨浦区科技企业联合会执行会长；上海市工商联房地产商会秘书长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复旦大学不动产资产管理协会创始理事长；上海山东省商会理事</w:t>
            </w:r>
          </w:p>
          <w:p>
            <w:pPr>
              <w:spacing w:after="20" w:line="259" w:lineRule="auto"/>
            </w:pPr>
            <w:r>
              <w:rPr>
                <w:rFonts w:ascii="微软雅黑" w:hAnsi="微软雅黑" w:eastAsia="微软雅黑"/>
                <w:b w:val="0"/>
                <w:color w:val="444C56"/>
                <w:sz w:val="16"/>
              </w:rPr>
              <w:t>城市更新 / 碳中和节能 / 虹口科技企业评审专家；复旦研究生管理联考面试官</w:t>
            </w:r>
          </w:p>
        </w:tc>
      </w:tr>
    </w:tbl>
    <w:p>
      <w:pPr>
        <w:spacing w:before="160" w:after="0" w:line="269" w:lineRule="auto"/>
      </w:pPr>
      <w:r>
        <w:rPr>
          <w:rFonts w:ascii="微软雅黑" w:hAnsi="微软雅黑" w:eastAsia="微软雅黑"/>
          <w:b w:val="0"/>
          <w:color w:val="5C6773"/>
          <w:sz w:val="16"/>
        </w:rPr>
        <w:t>说明：公开活动职务与角色可对照人民网、新华社、中新社、央广网、上海市人民政府、杨浦区政府官网、锦天城官网等报道核验。北欧创新国际会客厅落户杨浦宝龙旭辉广场环创中心，宝龙商办不是雇主。原 Boss 直聘稿中的身份证、家庭住址、配偶信息已从对外简历中移除。</w:t>
      </w:r>
    </w:p>
    <w:sectPr w:rsidR="00FC693F" w:rsidRPr="0006063C" w:rsidSect="00034616">
      <w:pgSz w:w="11906" w:h="16838"/>
      <w:pgMar w:top="652" w:right="794" w:bottom="652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