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288" w:lineRule="auto"/>
        <w:jc w:val="center"/>
      </w:pPr>
      <w:r>
        <w:rPr>
          <w:rFonts w:ascii="Inter" w:hAnsi="Inter" w:eastAsia="Inter"/>
          <w:b w:val="0"/>
          <w:i w:val="0"/>
          <w:color w:val="808399"/>
          <w:sz w:val="18"/>
        </w:rPr>
        <w:t>SEMIR  ·  SHANGHAI  ·  MINHANG  ·  WUJING</w:t>
      </w:r>
    </w:p>
    <w:p>
      <w:pPr>
        <w:spacing w:before="80" w:after="80" w:line="288" w:lineRule="auto"/>
        <w:jc w:val="center"/>
      </w:pPr>
      <w:r>
        <w:rPr>
          <w:rFonts w:ascii="思源黑体 CN" w:hAnsi="思源黑体 CN" w:eastAsia="思源黑体 CN"/>
          <w:b/>
          <w:i w:val="0"/>
          <w:color w:val="1A1A24"/>
          <w:sz w:val="56"/>
        </w:rPr>
        <w:t>森马（上海）国际运营中心</w:t>
      </w:r>
    </w:p>
    <w:p>
      <w:pPr>
        <w:spacing w:before="80" w:after="240" w:line="384" w:lineRule="auto"/>
        <w:jc w:val="center"/>
      </w:pPr>
      <w:r>
        <w:rPr>
          <w:rFonts w:ascii="思源黑体 CN" w:hAnsi="思源黑体 CN" w:eastAsia="思源黑体 CN"/>
          <w:b/>
          <w:i w:val="0"/>
          <w:color w:val="C2184B"/>
          <w:sz w:val="36"/>
        </w:rPr>
        <w:t>项目介绍与解读</w:t>
      </w:r>
    </w:p>
    <w:p>
      <w:pPr>
        <w:spacing w:before="80" w:after="80" w:line="384" w:lineRule="auto"/>
        <w:jc w:val="center"/>
      </w:pPr>
      <w:r>
        <w:rPr>
          <w:rFonts w:ascii="Inter" w:hAnsi="Inter" w:eastAsia="Inter"/>
          <w:b w:val="0"/>
          <w:i w:val="0"/>
          <w:color w:val="55576E"/>
          <w:sz w:val="22"/>
        </w:rPr>
        <w:t>Semir Group's Global Headquarter — Introduction &amp; Interpretation</w:t>
      </w:r>
    </w:p>
    <w:p>
      <w:pPr>
        <w:pBdr>
          <w:bottom w:val="single" w:sz="9" w:space="1" w:color="C2184B"/>
        </w:pBdr>
        <w:spacing w:before="120" w:after="120"/>
      </w:pPr>
    </w:p>
    <w:p>
      <w:pPr>
        <w:spacing w:before="160" w:after="160" w:line="444" w:lineRule="auto"/>
        <w:ind w:firstLine="420"/>
        <w:jc w:val="both"/>
      </w:pPr>
      <w:r>
        <w:rPr>
          <w:rFonts w:ascii="思源黑体 CN" w:hAnsi="思源黑体 CN" w:eastAsia="思源黑体 CN"/>
          <w:b w:val="0"/>
          <w:i w:val="0"/>
          <w:color w:val="2A2A36"/>
          <w:sz w:val="22"/>
        </w:rPr>
        <w:t>本文档基于《森马（上海）国际运营中心·项目总体介绍》提案 PPT，系统整理项目的战略定位、宏观区位、产业规划、商业落位与运营合作等核心信息，并附以专业视角的解读与价值评估，便于决策者、合作伙伴及内部团队快速把握项目全貌。</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项目一图速读 · Project at a Glance</w:t>
      </w:r>
    </w:p>
    <w:tbl>
      <w:tblPr>
        <w:tblW w:type="auto" w:w="0"/>
        <w:tblLayout w:type="fixed"/>
        <w:tblLook w:firstColumn="1" w:firstRow="1" w:lastColumn="0" w:lastRow="0" w:noHBand="0" w:noVBand="1" w:val="04A0"/>
      </w:tblPr>
      <w:tblGrid>
        <w:gridCol w:w="2041"/>
        <w:gridCol w:w="6917"/>
      </w:tblGrid>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项目名称</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森马（上海）国际运营中心 · Semir Group's Global Headquarter</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项目区位</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上海市闵行区吴泾镇 · 元江路 · 15 号线元江路 TOD</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战略定位</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南部科创走廊新兴载体 · 大零号湾示范枢纽 · 长三角融合标杆</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产业方向</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科技潮玩产业策源高地 · IP 创制 / AI 设计 / 直播电商 / 选品仓储</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商业定位</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Z·世代潮玩社交主场 · 潮玩元宇宙 · 青年引力场</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建筑规模</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总建筑面积 22 万㎡ · 商业建筑面积 5.2 万㎡ · 商业车位 1,500+</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楼宇构成</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6 栋楼宇 · 零售 / 总部 / Livehouse / 酒店 / 艺术 / 直播 / 集群 / 餐饮</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TOD 流量</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15 号线元江路站日均客流 5–7 万人次</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辐射人口</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15 分钟车行覆盖 24 万居住人口 + 12 万产业办公人口</w:t>
            </w:r>
          </w:p>
        </w:tc>
      </w:tr>
      <w:tr>
        <w:tc>
          <w:tcPr>
            <w:tcW w:type="dxa" w:w="2041"/>
            <w:shd w:val="clear" w:color="auto" w:fill="FDF2F7"/>
            <w:tcBorders>
              <w:top w:val="single" w:sz="4" w:color="D9D7E4"/>
              <w:bottom w:val="single" w:sz="4" w:color="D9D7E4"/>
              <w:left w:val="nil" w:sz="4" w:color="D9D7E4"/>
              <w:right w:val="nil" w:sz="4" w:color="D9D7E4"/>
            </w:tcBorders>
            <w:vAlign w:val="center"/>
          </w:tcPr>
          <w:p>
            <w:pPr>
              <w:spacing w:before="80" w:after="80"/>
            </w:pPr>
            <w:r>
              <w:rPr>
                <w:rFonts w:ascii="思源黑体 CN" w:hAnsi="思源黑体 CN" w:eastAsia="思源黑体 CN"/>
                <w:b/>
                <w:i w:val="0"/>
                <w:color w:val="C2184B"/>
                <w:sz w:val="21"/>
              </w:rPr>
              <w:t>产业牌照</w:t>
            </w:r>
          </w:p>
        </w:tc>
        <w:tc>
          <w:tcPr>
            <w:tcW w:type="dxa" w:w="6917"/>
            <w:shd w:val="clear" w:color="auto" w:fill="FFFFFF"/>
            <w:tcBorders>
              <w:top w:val="single" w:sz="4" w:color="D9D7E4"/>
              <w:bottom w:val="single" w:sz="4" w:color="D9D7E4"/>
              <w:left w:val="nil" w:sz="4" w:color="D9D7E4"/>
              <w:right w:val="nil" w:sz="4" w:color="D9D7E4"/>
            </w:tcBorders>
            <w:vAlign w:val="center"/>
          </w:tcPr>
          <w:p>
            <w:pPr>
              <w:spacing w:before="80" w:after="80" w:line="360" w:lineRule="auto"/>
            </w:pPr>
            <w:r>
              <w:rPr>
                <w:rFonts w:ascii="思源黑体 CN" w:hAnsi="思源黑体 CN" w:eastAsia="思源黑体 CN"/>
                <w:b w:val="0"/>
                <w:i w:val="0"/>
                <w:color w:val="2A2A36"/>
                <w:sz w:val="21"/>
              </w:rPr>
              <w:t>中国百货协会潮玩次元商业专委会 · AI 潮玩产业基地（中国动漫集团）</w:t>
            </w:r>
          </w:p>
        </w:tc>
      </w:tr>
    </w:tbl>
    <w:p>
      <w:pPr>
        <w:spacing w:before="80" w:after="0" w:line="384" w:lineRule="auto"/>
        <w:jc w:val="left"/>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目  录 · Contents</w:t>
      </w:r>
    </w:p>
    <w:p>
      <w:pPr>
        <w:spacing w:after="40"/>
        <w:ind w:left="340"/>
      </w:pPr>
      <w:r>
        <w:rPr>
          <w:rFonts w:ascii="思源黑体 CN" w:hAnsi="思源黑体 CN" w:eastAsia="思源黑体 CN"/>
          <w:b/>
          <w:i w:val="0"/>
          <w:color w:val="C2184B"/>
          <w:sz w:val="22"/>
        </w:rPr>
        <w:t>一、</w:t>
      </w:r>
      <w:r>
        <w:rPr>
          <w:rFonts w:ascii="思源黑体 CN" w:hAnsi="思源黑体 CN" w:eastAsia="思源黑体 CN"/>
          <w:b/>
          <w:i w:val="0"/>
          <w:color w:val="1A1A24"/>
          <w:sz w:val="22"/>
        </w:rPr>
        <w:t>项目背景与战略意义</w:t>
      </w:r>
      <w:r>
        <w:rPr>
          <w:rFonts w:ascii="Inter" w:hAnsi="Inter" w:eastAsia="Inter"/>
          <w:b w:val="0"/>
          <w:i w:val="0"/>
          <w:color w:val="808399"/>
          <w:sz w:val="19"/>
        </w:rPr>
        <w:t xml:space="preserve">   Background &amp; Strategic Significance</w:t>
      </w:r>
    </w:p>
    <w:p>
      <w:pPr>
        <w:spacing w:after="40"/>
        <w:ind w:left="340"/>
      </w:pPr>
      <w:r>
        <w:rPr>
          <w:rFonts w:ascii="思源黑体 CN" w:hAnsi="思源黑体 CN" w:eastAsia="思源黑体 CN"/>
          <w:b/>
          <w:i w:val="0"/>
          <w:color w:val="C2184B"/>
          <w:sz w:val="22"/>
        </w:rPr>
        <w:t>二、</w:t>
      </w:r>
      <w:r>
        <w:rPr>
          <w:rFonts w:ascii="思源黑体 CN" w:hAnsi="思源黑体 CN" w:eastAsia="思源黑体 CN"/>
          <w:b/>
          <w:i w:val="0"/>
          <w:color w:val="1A1A24"/>
          <w:sz w:val="22"/>
        </w:rPr>
        <w:t>项目概况：区位、交通与建筑</w:t>
      </w:r>
      <w:r>
        <w:rPr>
          <w:rFonts w:ascii="Inter" w:hAnsi="Inter" w:eastAsia="Inter"/>
          <w:b w:val="0"/>
          <w:i w:val="0"/>
          <w:color w:val="808399"/>
          <w:sz w:val="19"/>
        </w:rPr>
        <w:t xml:space="preserve">   Overview: Location · Traffic · Architecture</w:t>
      </w:r>
    </w:p>
    <w:p>
      <w:pPr>
        <w:spacing w:after="40"/>
        <w:ind w:left="340"/>
      </w:pPr>
      <w:r>
        <w:rPr>
          <w:rFonts w:ascii="思源黑体 CN" w:hAnsi="思源黑体 CN" w:eastAsia="思源黑体 CN"/>
          <w:b/>
          <w:i w:val="0"/>
          <w:color w:val="C2184B"/>
          <w:sz w:val="22"/>
        </w:rPr>
        <w:t>三、</w:t>
      </w:r>
      <w:r>
        <w:rPr>
          <w:rFonts w:ascii="思源黑体 CN" w:hAnsi="思源黑体 CN" w:eastAsia="思源黑体 CN"/>
          <w:b/>
          <w:i w:val="0"/>
          <w:color w:val="1A1A24"/>
          <w:sz w:val="22"/>
        </w:rPr>
        <w:t>产业规划解读</w:t>
      </w:r>
      <w:r>
        <w:rPr>
          <w:rFonts w:ascii="Inter" w:hAnsi="Inter" w:eastAsia="Inter"/>
          <w:b w:val="0"/>
          <w:i w:val="0"/>
          <w:color w:val="808399"/>
          <w:sz w:val="19"/>
        </w:rPr>
        <w:t xml:space="preserve">   Industry Planning Interpretation</w:t>
      </w:r>
    </w:p>
    <w:p>
      <w:pPr>
        <w:spacing w:after="40"/>
        <w:ind w:left="340"/>
      </w:pPr>
      <w:r>
        <w:rPr>
          <w:rFonts w:ascii="思源黑体 CN" w:hAnsi="思源黑体 CN" w:eastAsia="思源黑体 CN"/>
          <w:b/>
          <w:i w:val="0"/>
          <w:color w:val="C2184B"/>
          <w:sz w:val="22"/>
        </w:rPr>
        <w:t>四、</w:t>
      </w:r>
      <w:r>
        <w:rPr>
          <w:rFonts w:ascii="思源黑体 CN" w:hAnsi="思源黑体 CN" w:eastAsia="思源黑体 CN"/>
          <w:b/>
          <w:i w:val="0"/>
          <w:color w:val="1A1A24"/>
          <w:sz w:val="22"/>
        </w:rPr>
        <w:t>商业规划解读</w:t>
      </w:r>
      <w:r>
        <w:rPr>
          <w:rFonts w:ascii="Inter" w:hAnsi="Inter" w:eastAsia="Inter"/>
          <w:b w:val="0"/>
          <w:i w:val="0"/>
          <w:color w:val="808399"/>
          <w:sz w:val="19"/>
        </w:rPr>
        <w:t xml:space="preserve">   Commercial Planning Interpretation</w:t>
      </w:r>
    </w:p>
    <w:p>
      <w:pPr>
        <w:spacing w:after="40"/>
        <w:ind w:left="340"/>
      </w:pPr>
      <w:r>
        <w:rPr>
          <w:rFonts w:ascii="思源黑体 CN" w:hAnsi="思源黑体 CN" w:eastAsia="思源黑体 CN"/>
          <w:b/>
          <w:i w:val="0"/>
          <w:color w:val="C2184B"/>
          <w:sz w:val="22"/>
        </w:rPr>
        <w:t>五、</w:t>
      </w:r>
      <w:r>
        <w:rPr>
          <w:rFonts w:ascii="思源黑体 CN" w:hAnsi="思源黑体 CN" w:eastAsia="思源黑体 CN"/>
          <w:b/>
          <w:i w:val="0"/>
          <w:color w:val="1A1A24"/>
          <w:sz w:val="22"/>
        </w:rPr>
        <w:t>运营与合作策略</w:t>
      </w:r>
      <w:r>
        <w:rPr>
          <w:rFonts w:ascii="Inter" w:hAnsi="Inter" w:eastAsia="Inter"/>
          <w:b w:val="0"/>
          <w:i w:val="0"/>
          <w:color w:val="808399"/>
          <w:sz w:val="19"/>
        </w:rPr>
        <w:t xml:space="preserve">   Operation &amp; Cooperation Strategy</w:t>
      </w:r>
    </w:p>
    <w:p>
      <w:pPr>
        <w:spacing w:after="40"/>
        <w:ind w:left="340"/>
      </w:pPr>
      <w:r>
        <w:rPr>
          <w:rFonts w:ascii="思源黑体 CN" w:hAnsi="思源黑体 CN" w:eastAsia="思源黑体 CN"/>
          <w:b/>
          <w:i w:val="0"/>
          <w:color w:val="C2184B"/>
          <w:sz w:val="22"/>
        </w:rPr>
        <w:t>六、</w:t>
      </w:r>
      <w:r>
        <w:rPr>
          <w:rFonts w:ascii="思源黑体 CN" w:hAnsi="思源黑体 CN" w:eastAsia="思源黑体 CN"/>
          <w:b/>
          <w:i w:val="0"/>
          <w:color w:val="1A1A24"/>
          <w:sz w:val="22"/>
        </w:rPr>
        <w:t>项目价值评估与机会分析</w:t>
      </w:r>
      <w:r>
        <w:rPr>
          <w:rFonts w:ascii="Inter" w:hAnsi="Inter" w:eastAsia="Inter"/>
          <w:b w:val="0"/>
          <w:i w:val="0"/>
          <w:color w:val="808399"/>
          <w:sz w:val="19"/>
        </w:rPr>
        <w:t xml:space="preserve">   Value Assessment &amp; Opportunities</w:t>
      </w:r>
    </w:p>
    <w:p>
      <w:pPr>
        <w:spacing w:after="40"/>
        <w:ind w:left="340"/>
      </w:pPr>
      <w:r>
        <w:rPr>
          <w:rFonts w:ascii="思源黑体 CN" w:hAnsi="思源黑体 CN" w:eastAsia="思源黑体 CN"/>
          <w:b/>
          <w:i w:val="0"/>
          <w:color w:val="C2184B"/>
          <w:sz w:val="22"/>
        </w:rPr>
        <w:t>七、</w:t>
      </w:r>
      <w:r>
        <w:rPr>
          <w:rFonts w:ascii="思源黑体 CN" w:hAnsi="思源黑体 CN" w:eastAsia="思源黑体 CN"/>
          <w:b/>
          <w:i w:val="0"/>
          <w:color w:val="1A1A24"/>
          <w:sz w:val="22"/>
        </w:rPr>
        <w:t>风险提示与建议</w:t>
      </w:r>
      <w:r>
        <w:rPr>
          <w:rFonts w:ascii="Inter" w:hAnsi="Inter" w:eastAsia="Inter"/>
          <w:b w:val="0"/>
          <w:i w:val="0"/>
          <w:color w:val="808399"/>
          <w:sz w:val="19"/>
        </w:rPr>
        <w:t xml:space="preserve">   Risks &amp; Recommendations</w:t>
      </w:r>
    </w:p>
    <w:p>
      <w:pPr>
        <w:spacing w:after="40"/>
        <w:ind w:left="340"/>
      </w:pPr>
      <w:r>
        <w:rPr>
          <w:rFonts w:ascii="思源黑体 CN" w:hAnsi="思源黑体 CN" w:eastAsia="思源黑体 CN"/>
          <w:b/>
          <w:i w:val="0"/>
          <w:color w:val="C2184B"/>
          <w:sz w:val="22"/>
        </w:rPr>
        <w:t>八、</w:t>
      </w:r>
      <w:r>
        <w:rPr>
          <w:rFonts w:ascii="思源黑体 CN" w:hAnsi="思源黑体 CN" w:eastAsia="思源黑体 CN"/>
          <w:b/>
          <w:i w:val="0"/>
          <w:color w:val="1A1A24"/>
          <w:sz w:val="22"/>
        </w:rPr>
        <w:t>结语</w:t>
      </w:r>
      <w:r>
        <w:rPr>
          <w:rFonts w:ascii="Inter" w:hAnsi="Inter" w:eastAsia="Inter"/>
          <w:b w:val="0"/>
          <w:i w:val="0"/>
          <w:color w:val="808399"/>
          <w:sz w:val="19"/>
        </w:rPr>
        <w:t xml:space="preserve">   Closing Remarks</w:t>
      </w:r>
    </w:p>
    <w:p>
      <w:r>
        <w:br w:type="page"/>
      </w:r>
    </w:p>
    <w:p>
      <w:pPr>
        <w:spacing w:before="480" w:after="80"/>
      </w:pPr>
      <w:r>
        <w:rPr>
          <w:rFonts w:ascii="Inter" w:hAnsi="Inter" w:eastAsia="Inter"/>
          <w:b/>
          <w:i w:val="0"/>
          <w:color w:val="C2184B"/>
          <w:sz w:val="44"/>
        </w:rPr>
        <w:t xml:space="preserve">一  </w:t>
      </w:r>
      <w:r>
        <w:rPr>
          <w:rFonts w:ascii="思源黑体 CN" w:hAnsi="思源黑体 CN" w:eastAsia="思源黑体 CN"/>
          <w:b/>
          <w:i w:val="0"/>
          <w:color w:val="1A1A24"/>
          <w:sz w:val="40"/>
        </w:rPr>
        <w:t>项目背景与战略意义</w:t>
      </w:r>
    </w:p>
    <w:p>
      <w:pPr>
        <w:spacing w:after="160"/>
      </w:pPr>
      <w:r>
        <w:rPr>
          <w:rFonts w:ascii="Inter" w:hAnsi="Inter" w:eastAsia="Inter"/>
          <w:b w:val="0"/>
          <w:i w:val="0"/>
          <w:color w:val="808399"/>
          <w:sz w:val="20"/>
        </w:rPr>
        <w:t>Chapter 1 · Background &amp; Strategic Significance</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1.1  时代背景</w:t>
      </w:r>
    </w:p>
    <w:p>
      <w:pPr>
        <w:spacing w:before="80" w:after="80" w:line="444" w:lineRule="auto"/>
        <w:ind w:firstLine="420"/>
        <w:jc w:val="both"/>
      </w:pPr>
      <w:r>
        <w:rPr>
          <w:rFonts w:ascii="思源黑体 CN" w:hAnsi="思源黑体 CN" w:eastAsia="思源黑体 CN"/>
          <w:b w:val="0"/>
          <w:i w:val="0"/>
          <w:color w:val="2A2A36"/>
          <w:sz w:val="22"/>
        </w:rPr>
        <w:t>"潮玩经济"是近年来中国消费市场最具增长力的新兴赛道之一。以盲盒、手办、二次元 IP、国潮文创、数字潮玩为代表的潮玩品类，正在快速汇聚 Z 世代的注意力与可支配收入，相关产业链涵盖 IP 孵化、设计研发、AI 创作、智能制造、仓储分销、电商直播、展演活动、社交体验等多个环节，呈现出"内容驱动 + 体验消费 + 跨界联名"的复合型业态。</w:t>
      </w:r>
    </w:p>
    <w:p>
      <w:pPr>
        <w:spacing w:before="80" w:after="80" w:line="444" w:lineRule="auto"/>
        <w:ind w:firstLine="420"/>
        <w:jc w:val="both"/>
      </w:pPr>
      <w:r>
        <w:rPr>
          <w:rFonts w:ascii="思源黑体 CN" w:hAnsi="思源黑体 CN" w:eastAsia="思源黑体 CN"/>
          <w:b w:val="0"/>
          <w:i w:val="0"/>
          <w:color w:val="2A2A36"/>
          <w:sz w:val="22"/>
        </w:rPr>
        <w:t>与此同时，上海正深入实施"南北转型"战略，闵行作为南部科创中心核心承载区，在"大零号湾"科创策源功能区的牵引下，正从传统制造业重镇加速向"科技 + 时尚 + 文创"的复合型创新城区跃迁。元江路—剑川路地区中心被列为闵行五大中心之一，能级比肩漕河泾、张江，是上海未来产城融合的关键节点。</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1.2  森马的战略转型</w:t>
      </w:r>
    </w:p>
    <w:p>
      <w:pPr>
        <w:spacing w:before="80" w:after="80" w:line="444" w:lineRule="auto"/>
        <w:ind w:firstLine="420"/>
        <w:jc w:val="both"/>
      </w:pPr>
      <w:r>
        <w:rPr>
          <w:rFonts w:ascii="思源黑体 CN" w:hAnsi="思源黑体 CN" w:eastAsia="思源黑体 CN"/>
          <w:b w:val="0"/>
          <w:i w:val="0"/>
          <w:color w:val="2A2A36"/>
          <w:sz w:val="22"/>
        </w:rPr>
        <w:t>森马集团从单一服装品牌运营商，逐步演化为"时尚 + 文创 + 产业地产"的综合性集团。本项目是森马继续深化产城融合战略、布局新一代潮玩产业的关键一子——通过自有总部 + 商业 + 产业园 + 配套酒店的"产城合一"模式，在闵行吴泾打造一个面向 Z·世代的国际化潮玩产业枢纽。</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1.3  三大战略身份解读</w:t>
      </w:r>
    </w:p>
    <w:tbl>
      <w:tblPr>
        <w:tblW w:type="auto" w:w="0"/>
        <w:jc w:val="left"/>
        <w:tblLayout w:type="autofit"/>
        <w:tblLook w:firstColumn="1" w:firstRow="1" w:lastColumn="0" w:lastRow="0" w:noHBand="0" w:noVBand="1" w:val="04A0"/>
      </w:tblPr>
      <w:tblGrid>
        <w:gridCol w:w="9292"/>
      </w:tblGrid>
      <w:tr>
        <w:tc>
          <w:tcPr>
            <w:tcW w:type="dxa" w:w="9292"/>
            <w:shd w:val="clear" w:color="auto" w:fill="FDF2F7"/>
            <w:tcBorders>
              <w:left w:val="single" w:sz="24" w:color="C2184B"/>
              <w:top w:val="nil" w:sz="4" w:color="D9D7E4"/>
              <w:bottom w:val="nil" w:sz="4" w:color="D9D7E4"/>
              <w:right w:val="nil" w:sz="4" w:color="D9D7E4"/>
            </w:tcBorders>
          </w:tcPr>
          <w:p>
            <w:pPr>
              <w:spacing w:before="40" w:after="40"/>
            </w:pPr>
            <w:r>
              <w:rPr>
                <w:rFonts w:ascii="思源黑体 CN" w:hAnsi="思源黑体 CN" w:eastAsia="思源黑体 CN"/>
                <w:b/>
                <w:i w:val="0"/>
                <w:color w:val="C2184B"/>
                <w:sz w:val="22"/>
              </w:rPr>
              <w:t>① 南部科创走廊的"新兴载体" — IMPORTANT CARRIER</w:t>
            </w:r>
          </w:p>
          <w:p>
            <w:pPr>
              <w:spacing w:after="40" w:line="384" w:lineRule="auto"/>
            </w:pPr>
            <w:r>
              <w:rPr>
                <w:rFonts w:ascii="思源黑体 CN" w:hAnsi="思源黑体 CN" w:eastAsia="思源黑体 CN"/>
                <w:b w:val="0"/>
                <w:i w:val="0"/>
                <w:color w:val="2A2A36"/>
                <w:sz w:val="21"/>
              </w:rPr>
              <w:t>项目地处闵行南部科创主轴（元江路），是从"零号湾"创新策源向南拓展、产业承接落地的关键容器。其"新兴"二字意味着承担差异化角色：不与紫竹高新区、临港浦江争夺硬科技与先进制造，而是聚焦"潮玩 + AI + IP"等与时尚消费高度耦合的内容型科技赛道。</w:t>
            </w:r>
          </w:p>
        </w:tc>
      </w:tr>
    </w:tbl>
    <w:p>
      <w:pPr>
        <w:spacing w:after="0"/>
      </w:pPr>
    </w:p>
    <w:tbl>
      <w:tblPr>
        <w:tblW w:type="auto" w:w="0"/>
        <w:jc w:val="left"/>
        <w:tblLayout w:type="autofit"/>
        <w:tblLook w:firstColumn="1" w:firstRow="1" w:lastColumn="0" w:lastRow="0" w:noHBand="0" w:noVBand="1" w:val="04A0"/>
      </w:tblPr>
      <w:tblGrid>
        <w:gridCol w:w="9292"/>
      </w:tblGrid>
      <w:tr>
        <w:tc>
          <w:tcPr>
            <w:tcW w:type="dxa" w:w="9292"/>
            <w:shd w:val="clear" w:color="auto" w:fill="F6F5FA"/>
            <w:tcBorders>
              <w:left w:val="single" w:sz="24" w:color="552AA0"/>
              <w:top w:val="nil" w:sz="4" w:color="D9D7E4"/>
              <w:bottom w:val="nil" w:sz="4" w:color="D9D7E4"/>
              <w:right w:val="nil" w:sz="4" w:color="D9D7E4"/>
            </w:tcBorders>
          </w:tcPr>
          <w:p>
            <w:pPr>
              <w:spacing w:before="40" w:after="40"/>
            </w:pPr>
            <w:r>
              <w:rPr>
                <w:rFonts w:ascii="思源黑体 CN" w:hAnsi="思源黑体 CN" w:eastAsia="思源黑体 CN"/>
                <w:b/>
                <w:i w:val="0"/>
                <w:color w:val="552AA0"/>
                <w:sz w:val="22"/>
              </w:rPr>
              <w:t>② 大零号湾科创区的"示范枢纽" — INNOVATION NODE</w:t>
            </w:r>
          </w:p>
          <w:p>
            <w:pPr>
              <w:spacing w:after="40" w:line="384" w:lineRule="auto"/>
            </w:pPr>
            <w:r>
              <w:rPr>
                <w:rFonts w:ascii="思源黑体 CN" w:hAnsi="思源黑体 CN" w:eastAsia="思源黑体 CN"/>
                <w:b w:val="0"/>
                <w:i w:val="0"/>
                <w:color w:val="2A2A36"/>
                <w:sz w:val="21"/>
              </w:rPr>
              <w:t>"枢纽"意味着既是流量节点（15 号线 TOD 日均 5–7 万人次），也是要素枢纽（汇集高校设计资源、央企资源、品牌资源、AI 技术资源）。"示范"则强调可复制性：一旦模式跑通，可向上海其他特色小镇、乃至长三角同类项目输出标准。</w:t>
            </w:r>
          </w:p>
        </w:tc>
      </w:tr>
    </w:tbl>
    <w:p>
      <w:pPr>
        <w:spacing w:after="0"/>
      </w:pPr>
    </w:p>
    <w:tbl>
      <w:tblPr>
        <w:tblW w:type="auto" w:w="0"/>
        <w:jc w:val="left"/>
        <w:tblLayout w:type="autofit"/>
        <w:tblLook w:firstColumn="1" w:firstRow="1" w:lastColumn="0" w:lastRow="0" w:noHBand="0" w:noVBand="1" w:val="04A0"/>
      </w:tblPr>
      <w:tblGrid>
        <w:gridCol w:w="9292"/>
      </w:tblGrid>
      <w:tr>
        <w:tc>
          <w:tcPr>
            <w:tcW w:type="dxa" w:w="9292"/>
            <w:shd w:val="clear" w:color="auto" w:fill="F0F8FA"/>
            <w:tcBorders>
              <w:left w:val="single" w:sz="24" w:color="066B7C"/>
              <w:top w:val="nil" w:sz="4" w:color="D9D7E4"/>
              <w:bottom w:val="nil" w:sz="4" w:color="D9D7E4"/>
              <w:right w:val="nil" w:sz="4" w:color="D9D7E4"/>
            </w:tcBorders>
          </w:tcPr>
          <w:p>
            <w:pPr>
              <w:spacing w:before="40" w:after="40"/>
            </w:pPr>
            <w:r>
              <w:rPr>
                <w:rFonts w:ascii="思源黑体 CN" w:hAnsi="思源黑体 CN" w:eastAsia="思源黑体 CN"/>
                <w:b/>
                <w:i w:val="0"/>
                <w:color w:val="066B7C"/>
                <w:sz w:val="22"/>
              </w:rPr>
              <w:t>③ 长三角"一核三带"融合标杆 — SUPER PLATFORM</w:t>
            </w:r>
          </w:p>
          <w:p>
            <w:pPr>
              <w:spacing w:after="40" w:line="384" w:lineRule="auto"/>
            </w:pPr>
            <w:r>
              <w:rPr>
                <w:rFonts w:ascii="思源黑体 CN" w:hAnsi="思源黑体 CN" w:eastAsia="思源黑体 CN"/>
                <w:b w:val="0"/>
                <w:i w:val="0"/>
                <w:color w:val="2A2A36"/>
                <w:sz w:val="21"/>
              </w:rPr>
              <w:t>"一核"指上海大都市核心圈，"三带"涵盖沪宁、沪杭、沿江沿海创新走廊。项目作为"科技 + 时尚 + 文创"的融合性平台，凭借森马的全国品牌网络与产业链，具备成为长三角潮玩与文创跨城市协同节点的潜质。</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1.4  小结：从"地产项目"到"产业策源地"</w:t>
      </w:r>
    </w:p>
    <w:p>
      <w:pPr>
        <w:spacing w:before="80" w:after="80" w:line="444" w:lineRule="auto"/>
        <w:ind w:firstLine="420"/>
        <w:jc w:val="both"/>
      </w:pPr>
      <w:r>
        <w:rPr>
          <w:rFonts w:ascii="思源黑体 CN" w:hAnsi="思源黑体 CN" w:eastAsia="思源黑体 CN"/>
          <w:b w:val="0"/>
          <w:i w:val="0"/>
          <w:color w:val="2A2A36"/>
          <w:sz w:val="22"/>
        </w:rPr>
        <w:t>本项目区别于普通商办综合体的核心，在于其"产业策源"属性：不只是提供空间载体，更主动构建"产业 + 商业 + 内容 + 流量"的循环。从战略意义上看，项目所承担的角色更接近一个"产业平台 + 城市文化客厅"的复合体，其成功与否将直接影响闵行南部科创走廊的潮玩 / 文创赛道占位，并为森马集团从"品牌商"向"生态运营商"的角色升级提供关键试验场。</w:t>
      </w:r>
    </w:p>
    <w:p>
      <w:pPr>
        <w:spacing w:before="480" w:after="80"/>
      </w:pPr>
      <w:r>
        <w:rPr>
          <w:rFonts w:ascii="Inter" w:hAnsi="Inter" w:eastAsia="Inter"/>
          <w:b/>
          <w:i w:val="0"/>
          <w:color w:val="C2184B"/>
          <w:sz w:val="44"/>
        </w:rPr>
        <w:t xml:space="preserve">二  </w:t>
      </w:r>
      <w:r>
        <w:rPr>
          <w:rFonts w:ascii="思源黑体 CN" w:hAnsi="思源黑体 CN" w:eastAsia="思源黑体 CN"/>
          <w:b/>
          <w:i w:val="0"/>
          <w:color w:val="1A1A24"/>
          <w:sz w:val="40"/>
        </w:rPr>
        <w:t>项目概况：区位、交通与建筑</w:t>
      </w:r>
    </w:p>
    <w:p>
      <w:pPr>
        <w:spacing w:after="160"/>
      </w:pPr>
      <w:r>
        <w:rPr>
          <w:rFonts w:ascii="Inter" w:hAnsi="Inter" w:eastAsia="Inter"/>
          <w:b w:val="0"/>
          <w:i w:val="0"/>
          <w:color w:val="808399"/>
          <w:sz w:val="20"/>
        </w:rPr>
        <w:t>Chapter 2 · Overview</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2.1  宏观区位</w:t>
      </w:r>
    </w:p>
    <w:p>
      <w:pPr>
        <w:spacing w:before="80" w:after="80" w:line="444" w:lineRule="auto"/>
        <w:ind w:firstLine="420"/>
        <w:jc w:val="both"/>
      </w:pPr>
      <w:r>
        <w:rPr>
          <w:rFonts w:ascii="思源黑体 CN" w:hAnsi="思源黑体 CN" w:eastAsia="思源黑体 CN"/>
          <w:b w:val="0"/>
          <w:i w:val="0"/>
          <w:color w:val="2A2A36"/>
          <w:sz w:val="22"/>
        </w:rPr>
        <w:t>项目位于上海市闵行区吴泾镇元江路主干道沿线，处于"元江路—剑川路"地区中心的核心位置。该区域在上海整体规划中具备三层属性：</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行政属性：</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闵行五大中心之一，与梅陇、七宝共筑闵行 TOD 金三角；</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产业属性：</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元宇宙、未来能源、智慧医疗、人工智能、低空经济五大产业鼎立；</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功能属性：</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南部科创走廊功能轴 + 东西交通主廊 + 产城融合纽带。</w:t>
      </w:r>
    </w:p>
    <w:p>
      <w:pPr>
        <w:spacing w:before="160" w:after="120" w:line="444" w:lineRule="auto"/>
        <w:ind w:firstLine="420"/>
        <w:jc w:val="both"/>
      </w:pPr>
      <w:r>
        <w:rPr>
          <w:rFonts w:ascii="思源黑体 CN" w:hAnsi="思源黑体 CN" w:eastAsia="思源黑体 CN"/>
          <w:b w:val="0"/>
          <w:i w:val="0"/>
          <w:color w:val="2A2A36"/>
          <w:sz w:val="22"/>
        </w:rPr>
        <w:t>上海南部科创中心已形成八大主要产业功能区，与本项目形成层次清晰的协同结构：</w:t>
      </w:r>
    </w:p>
    <w:tbl>
      <w:tblPr>
        <w:tblW w:type="auto" w:w="0"/>
        <w:tblLayout w:type="fixed"/>
        <w:tblLook w:firstColumn="1" w:firstRow="1" w:lastColumn="0" w:lastRow="0" w:noHBand="0" w:noVBand="1" w:val="04A0"/>
      </w:tblPr>
      <w:tblGrid>
        <w:gridCol w:w="3969"/>
        <w:gridCol w:w="4989"/>
      </w:tblGrid>
      <w:tr>
        <w:tc>
          <w:tcPr>
            <w:tcW w:type="dxa" w:w="4646"/>
            <w:shd w:val="clear" w:color="auto" w:fill="2A1633"/>
            <w:vAlign w:val="center"/>
          </w:tcPr>
          <w:p>
            <w:pPr>
              <w:jc w:val="center"/>
            </w:pPr>
            <w:r/>
            <w:r>
              <w:rPr>
                <w:rFonts w:ascii="思源黑体 CN" w:hAnsi="思源黑体 CN" w:eastAsia="思源黑体 CN"/>
                <w:b/>
                <w:i w:val="0"/>
                <w:color w:val="FFFFFF"/>
                <w:sz w:val="21"/>
              </w:rPr>
              <w:t>功能区</w:t>
            </w:r>
          </w:p>
        </w:tc>
        <w:tc>
          <w:tcPr>
            <w:tcW w:type="dxa" w:w="4646"/>
            <w:shd w:val="clear" w:color="auto" w:fill="2A1633"/>
            <w:vAlign w:val="center"/>
          </w:tcPr>
          <w:p>
            <w:pPr>
              <w:jc w:val="center"/>
            </w:pPr>
            <w:r/>
            <w:r>
              <w:rPr>
                <w:rFonts w:ascii="思源黑体 CN" w:hAnsi="思源黑体 CN" w:eastAsia="思源黑体 CN"/>
                <w:b/>
                <w:i w:val="0"/>
                <w:color w:val="FFFFFF"/>
                <w:sz w:val="21"/>
              </w:rPr>
              <w:t>定位</w:t>
            </w:r>
          </w:p>
        </w:tc>
      </w:tr>
      <w:tr>
        <w:tc>
          <w:tcPr>
            <w:tcW w:type="dxa" w:w="396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val="0"/>
                <w:i w:val="0"/>
                <w:color w:val="2A2A36"/>
                <w:sz w:val="21"/>
              </w:rPr>
              <w:t>"零号湾"创新创业集聚区</w:t>
            </w:r>
          </w:p>
        </w:tc>
        <w:tc>
          <w:tcPr>
            <w:tcW w:type="dxa" w:w="498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1"/>
              </w:rPr>
              <w:t>创新策源区</w:t>
            </w:r>
          </w:p>
        </w:tc>
      </w:tr>
      <w:tr>
        <w:tc>
          <w:tcPr>
            <w:tcW w:type="dxa" w:w="396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val="0"/>
                <w:i w:val="0"/>
                <w:color w:val="2A2A36"/>
                <w:sz w:val="21"/>
              </w:rPr>
              <w:t>紫竹国家高新技术产业开发区</w:t>
            </w:r>
          </w:p>
        </w:tc>
        <w:tc>
          <w:tcPr>
            <w:tcW w:type="dxa" w:w="498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i w:val="0"/>
                <w:color w:val="C2184B"/>
                <w:sz w:val="21"/>
              </w:rPr>
              <w:t>高新产业承载区</w:t>
            </w:r>
          </w:p>
        </w:tc>
      </w:tr>
      <w:tr>
        <w:tc>
          <w:tcPr>
            <w:tcW w:type="dxa" w:w="396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val="0"/>
                <w:i w:val="0"/>
                <w:color w:val="2A2A36"/>
                <w:sz w:val="21"/>
              </w:rPr>
              <w:t>临港浦江国际科技城</w:t>
            </w:r>
          </w:p>
        </w:tc>
        <w:tc>
          <w:tcPr>
            <w:tcW w:type="dxa" w:w="498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1"/>
              </w:rPr>
              <w:t>高新产业承载区</w:t>
            </w:r>
          </w:p>
        </w:tc>
      </w:tr>
      <w:tr>
        <w:tc>
          <w:tcPr>
            <w:tcW w:type="dxa" w:w="396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val="0"/>
                <w:i w:val="0"/>
                <w:color w:val="2A2A36"/>
                <w:sz w:val="21"/>
              </w:rPr>
              <w:t>向阳工业互联网基地</w:t>
            </w:r>
          </w:p>
        </w:tc>
        <w:tc>
          <w:tcPr>
            <w:tcW w:type="dxa" w:w="498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i w:val="0"/>
                <w:color w:val="C2184B"/>
                <w:sz w:val="21"/>
              </w:rPr>
              <w:t>高新产业承载区</w:t>
            </w:r>
          </w:p>
        </w:tc>
      </w:tr>
      <w:tr>
        <w:tc>
          <w:tcPr>
            <w:tcW w:type="dxa" w:w="396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val="0"/>
                <w:i w:val="0"/>
                <w:color w:val="2A2A36"/>
                <w:sz w:val="21"/>
              </w:rPr>
              <w:t>闵行经济技术开发区</w:t>
            </w:r>
          </w:p>
        </w:tc>
        <w:tc>
          <w:tcPr>
            <w:tcW w:type="dxa" w:w="498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1"/>
              </w:rPr>
              <w:t>先进制造业承载区</w:t>
            </w:r>
          </w:p>
        </w:tc>
      </w:tr>
      <w:tr>
        <w:tc>
          <w:tcPr>
            <w:tcW w:type="dxa" w:w="396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val="0"/>
                <w:i w:val="0"/>
                <w:color w:val="2A2A36"/>
                <w:sz w:val="21"/>
              </w:rPr>
              <w:t>莘庄工业区</w:t>
            </w:r>
          </w:p>
        </w:tc>
        <w:tc>
          <w:tcPr>
            <w:tcW w:type="dxa" w:w="498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i w:val="0"/>
                <w:color w:val="C2184B"/>
                <w:sz w:val="21"/>
              </w:rPr>
              <w:t>先进制造业承载区</w:t>
            </w:r>
          </w:p>
        </w:tc>
      </w:tr>
      <w:tr>
        <w:tc>
          <w:tcPr>
            <w:tcW w:type="dxa" w:w="396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val="0"/>
                <w:i w:val="0"/>
                <w:color w:val="2A2A36"/>
                <w:sz w:val="21"/>
              </w:rPr>
              <w:t>上海航天产业基地</w:t>
            </w:r>
          </w:p>
        </w:tc>
        <w:tc>
          <w:tcPr>
            <w:tcW w:type="dxa" w:w="4989"/>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1"/>
              </w:rPr>
              <w:t>战略产业承载区</w:t>
            </w:r>
          </w:p>
        </w:tc>
      </w:tr>
      <w:tr>
        <w:tc>
          <w:tcPr>
            <w:tcW w:type="dxa" w:w="396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val="0"/>
                <w:i w:val="0"/>
                <w:color w:val="2A2A36"/>
                <w:sz w:val="21"/>
              </w:rPr>
              <w:t>马桥人工智能创新试验区</w:t>
            </w:r>
          </w:p>
        </w:tc>
        <w:tc>
          <w:tcPr>
            <w:tcW w:type="dxa" w:w="4989"/>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i w:val="0"/>
                <w:color w:val="C2184B"/>
                <w:sz w:val="21"/>
              </w:rPr>
              <w:t>战略产业承载区</w:t>
            </w:r>
          </w:p>
        </w:tc>
      </w:tr>
    </w:tbl>
    <w:p>
      <w:pPr>
        <w:spacing w:before="80" w:after="80" w:line="384" w:lineRule="auto"/>
        <w:jc w:val="left"/>
      </w:pPr>
    </w:p>
    <w:tbl>
      <w:tblPr>
        <w:tblW w:type="auto" w:w="0"/>
        <w:jc w:val="left"/>
        <w:tblLayout w:type="autofit"/>
        <w:tblLook w:firstColumn="1" w:firstRow="1" w:lastColumn="0" w:lastRow="0" w:noHBand="0" w:noVBand="1" w:val="04A0"/>
      </w:tblPr>
      <w:tblGrid>
        <w:gridCol w:w="9292"/>
      </w:tblGrid>
      <w:tr>
        <w:tc>
          <w:tcPr>
            <w:tcW w:type="dxa" w:w="9292"/>
            <w:shd w:val="clear" w:color="auto" w:fill="F6F5FA"/>
            <w:tcBorders>
              <w:left w:val="single" w:sz="24" w:color="552AA0"/>
              <w:top w:val="nil" w:sz="4" w:color="D9D7E4"/>
              <w:bottom w:val="nil" w:sz="4" w:color="D9D7E4"/>
              <w:right w:val="nil" w:sz="4" w:color="D9D7E4"/>
            </w:tcBorders>
          </w:tcPr>
          <w:p>
            <w:pPr>
              <w:spacing w:before="40" w:after="40"/>
            </w:pPr>
            <w:r>
              <w:rPr>
                <w:rFonts w:ascii="思源黑体 CN" w:hAnsi="思源黑体 CN" w:eastAsia="思源黑体 CN"/>
                <w:b/>
                <w:i w:val="0"/>
                <w:color w:val="552AA0"/>
                <w:sz w:val="22"/>
              </w:rPr>
              <w:t>解读</w:t>
            </w:r>
          </w:p>
          <w:p>
            <w:pPr>
              <w:spacing w:after="40" w:line="384" w:lineRule="auto"/>
            </w:pPr>
            <w:r>
              <w:rPr>
                <w:rFonts w:ascii="思源黑体 CN" w:hAnsi="思源黑体 CN" w:eastAsia="思源黑体 CN"/>
                <w:b w:val="0"/>
                <w:i w:val="0"/>
                <w:color w:val="2A2A36"/>
                <w:sz w:val="21"/>
              </w:rPr>
              <w:t>本项目在该结构中扮演"文创 + 科技融合"的差异化角色，与硬科技承载区形成功能互补，而非内卷竞争。这种"内容型科创"卡位有助于项目获得政策、人才、流量的多方倾斜。</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2.2  交通辐射</w:t>
      </w:r>
    </w:p>
    <w:p>
      <w:pPr>
        <w:spacing w:before="80" w:after="80" w:line="444" w:lineRule="auto"/>
        <w:ind w:firstLine="420"/>
        <w:jc w:val="both"/>
      </w:pPr>
      <w:r>
        <w:rPr>
          <w:rFonts w:ascii="思源黑体 CN" w:hAnsi="思源黑体 CN" w:eastAsia="思源黑体 CN"/>
          <w:b w:val="0"/>
          <w:i w:val="0"/>
          <w:color w:val="2A2A36"/>
          <w:sz w:val="22"/>
        </w:rPr>
        <w:t>元江路是闵行南部一条东西向主干道，西起昆阳北路、东至龙吴路，全长约 11.5 公里，横贯吴泾、颛桥、马桥镇及莘庄工业区。项目周边交通可达性如下：</w:t>
      </w:r>
    </w:p>
    <w:tbl>
      <w:tblPr>
        <w:tblW w:type="auto" w:w="0"/>
        <w:tblLayout w:type="fixed"/>
        <w:tblLook w:firstColumn="1" w:firstRow="1" w:lastColumn="0" w:lastRow="0" w:noHBand="0" w:noVBand="1" w:val="04A0"/>
      </w:tblPr>
      <w:tblGrid>
        <w:gridCol w:w="2381"/>
        <w:gridCol w:w="1701"/>
        <w:gridCol w:w="4876"/>
      </w:tblGrid>
      <w:tr>
        <w:tc>
          <w:tcPr>
            <w:tcW w:type="dxa" w:w="3097"/>
            <w:shd w:val="clear" w:color="auto" w:fill="2A1633"/>
            <w:vAlign w:val="center"/>
          </w:tcPr>
          <w:p>
            <w:pPr>
              <w:jc w:val="center"/>
            </w:pPr>
            <w:r/>
            <w:r>
              <w:rPr>
                <w:rFonts w:ascii="思源黑体 CN" w:hAnsi="思源黑体 CN" w:eastAsia="思源黑体 CN"/>
                <w:b/>
                <w:i w:val="0"/>
                <w:color w:val="FFFFFF"/>
                <w:sz w:val="21"/>
              </w:rPr>
              <w:t>目的地</w:t>
            </w:r>
          </w:p>
        </w:tc>
        <w:tc>
          <w:tcPr>
            <w:tcW w:type="dxa" w:w="3097"/>
            <w:shd w:val="clear" w:color="auto" w:fill="2A1633"/>
            <w:vAlign w:val="center"/>
          </w:tcPr>
          <w:p>
            <w:pPr>
              <w:jc w:val="center"/>
            </w:pPr>
            <w:r/>
            <w:r>
              <w:rPr>
                <w:rFonts w:ascii="思源黑体 CN" w:hAnsi="思源黑体 CN" w:eastAsia="思源黑体 CN"/>
                <w:b/>
                <w:i w:val="0"/>
                <w:color w:val="FFFFFF"/>
                <w:sz w:val="21"/>
              </w:rPr>
              <w:t>距离</w:t>
            </w:r>
          </w:p>
        </w:tc>
        <w:tc>
          <w:tcPr>
            <w:tcW w:type="dxa" w:w="3097"/>
            <w:shd w:val="clear" w:color="auto" w:fill="2A1633"/>
            <w:vAlign w:val="center"/>
          </w:tcPr>
          <w:p>
            <w:pPr>
              <w:jc w:val="center"/>
            </w:pPr>
            <w:r/>
            <w:r>
              <w:rPr>
                <w:rFonts w:ascii="思源黑体 CN" w:hAnsi="思源黑体 CN" w:eastAsia="思源黑体 CN"/>
                <w:b/>
                <w:i w:val="0"/>
                <w:color w:val="FFFFFF"/>
                <w:sz w:val="21"/>
              </w:rPr>
              <w:t>车程 / 备注</w:t>
            </w:r>
          </w:p>
        </w:tc>
      </w:tr>
      <w:tr>
        <w:tc>
          <w:tcPr>
            <w:tcW w:type="dxa" w:w="2381"/>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紫竹高新区</w:t>
            </w:r>
          </w:p>
        </w:tc>
        <w:tc>
          <w:tcPr>
            <w:tcW w:type="dxa" w:w="1701"/>
            <w:shd w:val="clear" w:color="auto" w:fill="FFFFFF"/>
            <w:tcBorders>
              <w:top w:val="single" w:sz="4" w:color="D9D7E4"/>
              <w:bottom w:val="single" w:sz="4" w:color="D9D7E4"/>
            </w:tcBorders>
            <w:vAlign w:val="center"/>
          </w:tcPr>
          <w:p>
            <w:pPr>
              <w:spacing w:before="60" w:after="60"/>
            </w:pPr>
            <w:r>
              <w:rPr>
                <w:rFonts w:ascii="Inter" w:hAnsi="Inter" w:eastAsia="Inter"/>
                <w:b/>
                <w:i w:val="0"/>
                <w:color w:val="C2184B"/>
                <w:sz w:val="21"/>
              </w:rPr>
              <w:t>5 km</w:t>
            </w:r>
          </w:p>
        </w:tc>
        <w:tc>
          <w:tcPr>
            <w:tcW w:type="dxa" w:w="4876"/>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车程约 10 min</w:t>
            </w:r>
          </w:p>
        </w:tc>
      </w:tr>
      <w:tr>
        <w:tc>
          <w:tcPr>
            <w:tcW w:type="dxa" w:w="2381"/>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申嘉湖高速入口</w:t>
            </w:r>
          </w:p>
        </w:tc>
        <w:tc>
          <w:tcPr>
            <w:tcW w:type="dxa" w:w="1701"/>
            <w:shd w:val="clear" w:color="auto" w:fill="F6F5FA"/>
            <w:tcBorders>
              <w:top w:val="single" w:sz="4" w:color="D9D7E4"/>
              <w:bottom w:val="single" w:sz="4" w:color="D9D7E4"/>
            </w:tcBorders>
            <w:vAlign w:val="center"/>
          </w:tcPr>
          <w:p>
            <w:pPr>
              <w:spacing w:before="60" w:after="60"/>
            </w:pPr>
            <w:r>
              <w:rPr>
                <w:rFonts w:ascii="Inter" w:hAnsi="Inter" w:eastAsia="Inter"/>
                <w:b/>
                <w:i w:val="0"/>
                <w:color w:val="C2184B"/>
                <w:sz w:val="21"/>
              </w:rPr>
              <w:t>4 km</w:t>
            </w:r>
          </w:p>
        </w:tc>
        <w:tc>
          <w:tcPr>
            <w:tcW w:type="dxa" w:w="4876"/>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车程约 15 min</w:t>
            </w:r>
          </w:p>
        </w:tc>
      </w:tr>
      <w:tr>
        <w:tc>
          <w:tcPr>
            <w:tcW w:type="dxa" w:w="2381"/>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浦东国际机场</w:t>
            </w:r>
          </w:p>
        </w:tc>
        <w:tc>
          <w:tcPr>
            <w:tcW w:type="dxa" w:w="1701"/>
            <w:shd w:val="clear" w:color="auto" w:fill="FFFFFF"/>
            <w:tcBorders>
              <w:top w:val="single" w:sz="4" w:color="D9D7E4"/>
              <w:bottom w:val="single" w:sz="4" w:color="D9D7E4"/>
            </w:tcBorders>
            <w:vAlign w:val="center"/>
          </w:tcPr>
          <w:p>
            <w:pPr>
              <w:spacing w:before="60" w:after="60"/>
            </w:pPr>
            <w:r>
              <w:rPr>
                <w:rFonts w:ascii="Inter" w:hAnsi="Inter" w:eastAsia="Inter"/>
                <w:b/>
                <w:i w:val="0"/>
                <w:color w:val="C2184B"/>
                <w:sz w:val="21"/>
              </w:rPr>
              <w:t>36 km</w:t>
            </w:r>
          </w:p>
        </w:tc>
        <w:tc>
          <w:tcPr>
            <w:tcW w:type="dxa" w:w="4876"/>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车程约 1.5 h · 机场快线 1 h 内可达</w:t>
            </w:r>
          </w:p>
        </w:tc>
      </w:tr>
      <w:tr>
        <w:tc>
          <w:tcPr>
            <w:tcW w:type="dxa" w:w="2381"/>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虹桥国际机场</w:t>
            </w:r>
          </w:p>
        </w:tc>
        <w:tc>
          <w:tcPr>
            <w:tcW w:type="dxa" w:w="1701"/>
            <w:shd w:val="clear" w:color="auto" w:fill="F6F5FA"/>
            <w:tcBorders>
              <w:top w:val="single" w:sz="4" w:color="D9D7E4"/>
              <w:bottom w:val="single" w:sz="4" w:color="D9D7E4"/>
            </w:tcBorders>
            <w:vAlign w:val="center"/>
          </w:tcPr>
          <w:p>
            <w:pPr>
              <w:spacing w:before="60" w:after="60"/>
            </w:pPr>
            <w:r>
              <w:rPr>
                <w:rFonts w:ascii="Inter" w:hAnsi="Inter" w:eastAsia="Inter"/>
                <w:b/>
                <w:i w:val="0"/>
                <w:color w:val="C2184B"/>
                <w:sz w:val="21"/>
              </w:rPr>
              <w:t>17 km</w:t>
            </w:r>
          </w:p>
        </w:tc>
        <w:tc>
          <w:tcPr>
            <w:tcW w:type="dxa" w:w="4876"/>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车程约 1 h · 机场快线 45 min 内可达</w:t>
            </w:r>
          </w:p>
        </w:tc>
      </w:tr>
      <w:tr>
        <w:tc>
          <w:tcPr>
            <w:tcW w:type="dxa" w:w="2381"/>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大学城</w:t>
            </w:r>
          </w:p>
        </w:tc>
        <w:tc>
          <w:tcPr>
            <w:tcW w:type="dxa" w:w="1701"/>
            <w:shd w:val="clear" w:color="auto" w:fill="FFFFFF"/>
            <w:tcBorders>
              <w:top w:val="single" w:sz="4" w:color="D9D7E4"/>
              <w:bottom w:val="single" w:sz="4" w:color="D9D7E4"/>
            </w:tcBorders>
            <w:vAlign w:val="center"/>
          </w:tcPr>
          <w:p>
            <w:pPr>
              <w:spacing w:before="60" w:after="60"/>
            </w:pPr>
            <w:r>
              <w:rPr>
                <w:rFonts w:ascii="Inter" w:hAnsi="Inter" w:eastAsia="Inter"/>
                <w:b/>
                <w:i w:val="0"/>
                <w:color w:val="C2184B"/>
                <w:sz w:val="21"/>
              </w:rPr>
              <w:t>4 km</w:t>
            </w:r>
          </w:p>
        </w:tc>
        <w:tc>
          <w:tcPr>
            <w:tcW w:type="dxa" w:w="4876"/>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车程约 10 min · 地铁可直达</w:t>
            </w:r>
          </w:p>
        </w:tc>
      </w:tr>
      <w:tr>
        <w:tc>
          <w:tcPr>
            <w:tcW w:type="dxa" w:w="2381"/>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15 号线元江路站 TOD</w:t>
            </w:r>
          </w:p>
        </w:tc>
        <w:tc>
          <w:tcPr>
            <w:tcW w:type="dxa" w:w="1701"/>
            <w:shd w:val="clear" w:color="auto" w:fill="F6F5FA"/>
            <w:tcBorders>
              <w:top w:val="single" w:sz="4" w:color="D9D7E4"/>
              <w:bottom w:val="single" w:sz="4" w:color="D9D7E4"/>
            </w:tcBorders>
            <w:vAlign w:val="center"/>
          </w:tcPr>
          <w:p>
            <w:pPr>
              <w:spacing w:before="60" w:after="60"/>
            </w:pPr>
            <w:r>
              <w:rPr>
                <w:rFonts w:ascii="Inter" w:hAnsi="Inter" w:eastAsia="Inter"/>
                <w:b/>
                <w:i w:val="0"/>
                <w:color w:val="C2184B"/>
                <w:sz w:val="21"/>
              </w:rPr>
              <w:t>—</w:t>
            </w:r>
          </w:p>
        </w:tc>
        <w:tc>
          <w:tcPr>
            <w:tcW w:type="dxa" w:w="4876"/>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日均客流 5–7 万人次</w:t>
            </w:r>
          </w:p>
        </w:tc>
      </w:tr>
    </w:tbl>
    <w:p>
      <w:pPr>
        <w:spacing w:before="80" w:after="80" w:line="384" w:lineRule="auto"/>
        <w:jc w:val="left"/>
      </w:pPr>
    </w:p>
    <w:tbl>
      <w:tblPr>
        <w:tblW w:type="auto" w:w="0"/>
        <w:jc w:val="left"/>
        <w:tblLayout w:type="autofit"/>
        <w:tblLook w:firstColumn="1" w:firstRow="1" w:lastColumn="0" w:lastRow="0" w:noHBand="0" w:noVBand="1" w:val="04A0"/>
      </w:tblPr>
      <w:tblGrid>
        <w:gridCol w:w="9292"/>
      </w:tblGrid>
      <w:tr>
        <w:tc>
          <w:tcPr>
            <w:tcW w:type="dxa" w:w="9292"/>
            <w:shd w:val="clear" w:color="auto" w:fill="FDF2F7"/>
            <w:tcBorders>
              <w:left w:val="single" w:sz="24" w:color="C2184B"/>
              <w:top w:val="nil" w:sz="4" w:color="D9D7E4"/>
              <w:bottom w:val="nil" w:sz="4" w:color="D9D7E4"/>
              <w:right w:val="nil" w:sz="4" w:color="D9D7E4"/>
            </w:tcBorders>
          </w:tcPr>
          <w:p>
            <w:pPr>
              <w:spacing w:before="40" w:after="40"/>
            </w:pPr>
            <w:r>
              <w:rPr>
                <w:rFonts w:ascii="思源黑体 CN" w:hAnsi="思源黑体 CN" w:eastAsia="思源黑体 CN"/>
                <w:b/>
                <w:i w:val="0"/>
                <w:color w:val="C2184B"/>
                <w:sz w:val="22"/>
              </w:rPr>
              <w:t>解读</w:t>
            </w:r>
          </w:p>
          <w:p>
            <w:pPr>
              <w:spacing w:after="40" w:line="384" w:lineRule="auto"/>
            </w:pPr>
            <w:r>
              <w:rPr>
                <w:rFonts w:ascii="思源黑体 CN" w:hAnsi="思源黑体 CN" w:eastAsia="思源黑体 CN"/>
                <w:b w:val="0"/>
                <w:i w:val="0"/>
                <w:color w:val="2A2A36"/>
                <w:sz w:val="21"/>
              </w:rPr>
              <w:t>15 号线元江路站直连市区与南部科创主轴，5–7 万人次的日均吞吐量为项目提供了"消费 + 通勤 + 旅游"的三重客流基础，是项目能够支撑潮玩商业、艺术活动、直播电商等多业态的关键流量基础设施。</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2.3  立足周边：人口与产业</w:t>
      </w:r>
    </w:p>
    <w:p>
      <w:pPr>
        <w:spacing w:before="80" w:after="80" w:line="444" w:lineRule="auto"/>
        <w:ind w:firstLine="420"/>
        <w:jc w:val="both"/>
      </w:pPr>
      <w:r>
        <w:rPr>
          <w:rFonts w:ascii="思源黑体 CN" w:hAnsi="思源黑体 CN" w:eastAsia="思源黑体 CN"/>
          <w:b w:val="0"/>
          <w:i w:val="0"/>
          <w:color w:val="2A2A36"/>
          <w:sz w:val="22"/>
        </w:rPr>
        <w:t>项目腹地保利住宅项目已落成，远处塘湾镇和别墅区人口稳定。3 km 范围内聚集了大量产业园和企业办公项目，生活服务配套方面逐步完善：</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居住人口：</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15 分钟车行覆盖 24 万；</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办公人口：</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15 分钟车行覆盖 12 万；</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产业坐标：</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森马产业、衣恋、普洛斯、雅诗兰黛、莲谷科技园、保利光合跃城、颛桥科技绿洲、拉夏贝尔、舜江集团总部 1 号、闵行物流园、中建产研、首开塘湾基地等。</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2.4  六栋楼宇 · 一座潮玩之城</w:t>
      </w:r>
    </w:p>
    <w:p>
      <w:pPr>
        <w:spacing w:before="80" w:after="80" w:line="444" w:lineRule="auto"/>
        <w:ind w:firstLine="420"/>
        <w:jc w:val="both"/>
      </w:pPr>
      <w:r>
        <w:rPr>
          <w:rFonts w:ascii="思源黑体 CN" w:hAnsi="思源黑体 CN" w:eastAsia="思源黑体 CN"/>
          <w:b w:val="0"/>
          <w:i w:val="0"/>
          <w:color w:val="2A2A36"/>
          <w:sz w:val="22"/>
        </w:rPr>
        <w:t>项目由 6 栋楼组成，总建筑面积约 22 万㎡，商业建筑面积约 5.2 万㎡，商业停车位 1,500+。各楼宇功能呈现"垂直分层 + 主题集群"的结构：</w:t>
      </w:r>
    </w:p>
    <w:tbl>
      <w:tblPr>
        <w:tblW w:type="auto" w:w="0"/>
        <w:tblLayout w:type="fixed"/>
        <w:tblLook w:firstColumn="1" w:firstRow="1" w:lastColumn="0" w:lastRow="0" w:noHBand="0" w:noVBand="1" w:val="04A0"/>
      </w:tblPr>
      <w:tblGrid>
        <w:gridCol w:w="1361"/>
        <w:gridCol w:w="7597"/>
      </w:tblGrid>
      <w:tr>
        <w:tc>
          <w:tcPr>
            <w:tcW w:type="dxa" w:w="4646"/>
            <w:shd w:val="clear" w:color="auto" w:fill="2A1633"/>
            <w:vAlign w:val="center"/>
          </w:tcPr>
          <w:p>
            <w:pPr>
              <w:jc w:val="center"/>
            </w:pPr>
            <w:r/>
            <w:r>
              <w:rPr>
                <w:rFonts w:ascii="思源黑体 CN" w:hAnsi="思源黑体 CN" w:eastAsia="思源黑体 CN"/>
                <w:b/>
                <w:i w:val="0"/>
                <w:color w:val="FFFFFF"/>
                <w:sz w:val="21"/>
              </w:rPr>
              <w:t>楼号</w:t>
            </w:r>
          </w:p>
        </w:tc>
        <w:tc>
          <w:tcPr>
            <w:tcW w:type="dxa" w:w="4646"/>
            <w:shd w:val="clear" w:color="auto" w:fill="2A1633"/>
            <w:vAlign w:val="center"/>
          </w:tcPr>
          <w:p>
            <w:pPr>
              <w:jc w:val="center"/>
            </w:pPr>
            <w:r/>
            <w:r>
              <w:rPr>
                <w:rFonts w:ascii="思源黑体 CN" w:hAnsi="思源黑体 CN" w:eastAsia="思源黑体 CN"/>
                <w:b/>
                <w:i w:val="0"/>
                <w:color w:val="FFFFFF"/>
                <w:sz w:val="21"/>
              </w:rPr>
              <w:t>功能 / 程序</w:t>
            </w:r>
          </w:p>
        </w:tc>
      </w:tr>
      <w:tr>
        <w:tc>
          <w:tcPr>
            <w:tcW w:type="dxa" w:w="1361"/>
            <w:tcBorders>
              <w:top w:val="single" w:sz="4" w:color="D9D7E4"/>
              <w:bottom w:val="single" w:sz="4" w:color="D9D7E4"/>
            </w:tcBorders>
            <w:shd w:val="clear" w:color="auto" w:fill="FFFFFF"/>
            <w:vAlign w:val="center"/>
          </w:tcPr>
          <w:p>
            <w:pPr>
              <w:spacing w:before="60" w:after="60"/>
              <w:jc w:val="center"/>
            </w:pPr>
            <w:r>
              <w:rPr>
                <w:rFonts w:ascii="Inter" w:hAnsi="Inter" w:eastAsia="Inter"/>
                <w:b/>
                <w:i w:val="0"/>
                <w:color w:val="C2184B"/>
                <w:sz w:val="22"/>
              </w:rPr>
              <w:t>1#</w:t>
            </w:r>
          </w:p>
        </w:tc>
        <w:tc>
          <w:tcPr>
            <w:tcW w:type="dxa" w:w="7597"/>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val="0"/>
                <w:i w:val="0"/>
                <w:color w:val="2A2A36"/>
                <w:sz w:val="21"/>
              </w:rPr>
              <w:t>1–4F 零售；5F 及以上 森马总部办公</w:t>
            </w:r>
          </w:p>
        </w:tc>
      </w:tr>
      <w:tr>
        <w:tc>
          <w:tcPr>
            <w:tcW w:type="dxa" w:w="1361"/>
            <w:tcBorders>
              <w:top w:val="single" w:sz="4" w:color="D9D7E4"/>
              <w:bottom w:val="single" w:sz="4" w:color="D9D7E4"/>
            </w:tcBorders>
            <w:shd w:val="clear" w:color="auto" w:fill="F6F5FA"/>
            <w:vAlign w:val="center"/>
          </w:tcPr>
          <w:p>
            <w:pPr>
              <w:spacing w:before="60" w:after="60"/>
              <w:jc w:val="center"/>
            </w:pPr>
            <w:r>
              <w:rPr>
                <w:rFonts w:ascii="Inter" w:hAnsi="Inter" w:eastAsia="Inter"/>
                <w:b/>
                <w:i w:val="0"/>
                <w:color w:val="C2184B"/>
                <w:sz w:val="22"/>
              </w:rPr>
              <w:t>2#</w:t>
            </w:r>
          </w:p>
        </w:tc>
        <w:tc>
          <w:tcPr>
            <w:tcW w:type="dxa" w:w="7597"/>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val="0"/>
                <w:i w:val="0"/>
                <w:color w:val="2A2A36"/>
                <w:sz w:val="21"/>
              </w:rPr>
              <w:t>整栋 二次元主题 Livehouse / 秀场</w:t>
            </w:r>
          </w:p>
        </w:tc>
      </w:tr>
      <w:tr>
        <w:tc>
          <w:tcPr>
            <w:tcW w:type="dxa" w:w="1361"/>
            <w:tcBorders>
              <w:top w:val="single" w:sz="4" w:color="D9D7E4"/>
              <w:bottom w:val="single" w:sz="4" w:color="D9D7E4"/>
            </w:tcBorders>
            <w:shd w:val="clear" w:color="auto" w:fill="FFFFFF"/>
            <w:vAlign w:val="center"/>
          </w:tcPr>
          <w:p>
            <w:pPr>
              <w:spacing w:before="60" w:after="60"/>
              <w:jc w:val="center"/>
            </w:pPr>
            <w:r>
              <w:rPr>
                <w:rFonts w:ascii="Inter" w:hAnsi="Inter" w:eastAsia="Inter"/>
                <w:b/>
                <w:i w:val="0"/>
                <w:color w:val="C2184B"/>
                <w:sz w:val="22"/>
              </w:rPr>
              <w:t>3#</w:t>
            </w:r>
          </w:p>
        </w:tc>
        <w:tc>
          <w:tcPr>
            <w:tcW w:type="dxa" w:w="7597"/>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val="0"/>
                <w:i w:val="0"/>
                <w:color w:val="2A2A36"/>
                <w:sz w:val="21"/>
              </w:rPr>
              <w:t>1–4F 休闲运动、萌宠空间；5F 及以上 酒店</w:t>
            </w:r>
          </w:p>
        </w:tc>
      </w:tr>
      <w:tr>
        <w:tc>
          <w:tcPr>
            <w:tcW w:type="dxa" w:w="1361"/>
            <w:tcBorders>
              <w:top w:val="single" w:sz="4" w:color="D9D7E4"/>
              <w:bottom w:val="single" w:sz="4" w:color="D9D7E4"/>
            </w:tcBorders>
            <w:shd w:val="clear" w:color="auto" w:fill="F6F5FA"/>
            <w:vAlign w:val="center"/>
          </w:tcPr>
          <w:p>
            <w:pPr>
              <w:spacing w:before="60" w:after="60"/>
              <w:jc w:val="center"/>
            </w:pPr>
            <w:r>
              <w:rPr>
                <w:rFonts w:ascii="Inter" w:hAnsi="Inter" w:eastAsia="Inter"/>
                <w:b/>
                <w:i w:val="0"/>
                <w:color w:val="C2184B"/>
                <w:sz w:val="22"/>
              </w:rPr>
              <w:t>4#</w:t>
            </w:r>
          </w:p>
        </w:tc>
        <w:tc>
          <w:tcPr>
            <w:tcW w:type="dxa" w:w="7597"/>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val="0"/>
                <w:i w:val="0"/>
                <w:color w:val="2A2A36"/>
                <w:sz w:val="21"/>
              </w:rPr>
              <w:t>1–3F 潮玩艺术中心；4F 直播中心；5F 及以上 潮玩产业集群</w:t>
            </w:r>
          </w:p>
        </w:tc>
      </w:tr>
      <w:tr>
        <w:tc>
          <w:tcPr>
            <w:tcW w:type="dxa" w:w="1361"/>
            <w:tcBorders>
              <w:top w:val="single" w:sz="4" w:color="D9D7E4"/>
              <w:bottom w:val="single" w:sz="4" w:color="D9D7E4"/>
            </w:tcBorders>
            <w:shd w:val="clear" w:color="auto" w:fill="FFFFFF"/>
            <w:vAlign w:val="center"/>
          </w:tcPr>
          <w:p>
            <w:pPr>
              <w:spacing w:before="60" w:after="60"/>
              <w:jc w:val="center"/>
            </w:pPr>
            <w:r>
              <w:rPr>
                <w:rFonts w:ascii="Inter" w:hAnsi="Inter" w:eastAsia="Inter"/>
                <w:b/>
                <w:i w:val="0"/>
                <w:color w:val="C2184B"/>
                <w:sz w:val="22"/>
              </w:rPr>
              <w:t>5#</w:t>
            </w:r>
          </w:p>
        </w:tc>
        <w:tc>
          <w:tcPr>
            <w:tcW w:type="dxa" w:w="7597"/>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val="0"/>
                <w:i w:val="0"/>
                <w:color w:val="2A2A36"/>
                <w:sz w:val="21"/>
              </w:rPr>
              <w:t>1–4F 动漫书店、休闲娱乐；5F 及以上 潮玩产业集群</w:t>
            </w:r>
          </w:p>
        </w:tc>
      </w:tr>
      <w:tr>
        <w:tc>
          <w:tcPr>
            <w:tcW w:type="dxa" w:w="1361"/>
            <w:tcBorders>
              <w:top w:val="single" w:sz="4" w:color="D9D7E4"/>
              <w:bottom w:val="single" w:sz="4" w:color="D9D7E4"/>
            </w:tcBorders>
            <w:shd w:val="clear" w:color="auto" w:fill="F6F5FA"/>
            <w:vAlign w:val="center"/>
          </w:tcPr>
          <w:p>
            <w:pPr>
              <w:spacing w:before="60" w:after="60"/>
              <w:jc w:val="center"/>
            </w:pPr>
            <w:r>
              <w:rPr>
                <w:rFonts w:ascii="Inter" w:hAnsi="Inter" w:eastAsia="Inter"/>
                <w:b/>
                <w:i w:val="0"/>
                <w:color w:val="C2184B"/>
                <w:sz w:val="22"/>
              </w:rPr>
              <w:t>6#</w:t>
            </w:r>
          </w:p>
        </w:tc>
        <w:tc>
          <w:tcPr>
            <w:tcW w:type="dxa" w:w="7597"/>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val="0"/>
                <w:i w:val="0"/>
                <w:color w:val="2A2A36"/>
                <w:sz w:val="21"/>
              </w:rPr>
              <w:t>1–5F 品质生活、特色餐饮、服务配套、商务宴请</w:t>
            </w:r>
          </w:p>
        </w:tc>
      </w:tr>
    </w:tbl>
    <w:p>
      <w:pPr>
        <w:spacing w:before="80" w:after="80" w:line="384" w:lineRule="auto"/>
        <w:jc w:val="left"/>
      </w:pPr>
    </w:p>
    <w:tbl>
      <w:tblPr>
        <w:tblW w:type="auto" w:w="0"/>
        <w:jc w:val="left"/>
        <w:tblLayout w:type="autofit"/>
        <w:tblLook w:firstColumn="1" w:firstRow="1" w:lastColumn="0" w:lastRow="0" w:noHBand="0" w:noVBand="1" w:val="04A0"/>
      </w:tblPr>
      <w:tblGrid>
        <w:gridCol w:w="9292"/>
      </w:tblGrid>
      <w:tr>
        <w:tc>
          <w:tcPr>
            <w:tcW w:type="dxa" w:w="9292"/>
            <w:shd w:val="clear" w:color="auto" w:fill="F0F8FA"/>
            <w:tcBorders>
              <w:left w:val="single" w:sz="24" w:color="066B7C"/>
              <w:top w:val="nil" w:sz="4" w:color="D9D7E4"/>
              <w:bottom w:val="nil" w:sz="4" w:color="D9D7E4"/>
              <w:right w:val="nil" w:sz="4" w:color="D9D7E4"/>
            </w:tcBorders>
          </w:tcPr>
          <w:p>
            <w:pPr>
              <w:spacing w:before="40" w:after="40"/>
            </w:pPr>
            <w:r>
              <w:rPr>
                <w:rFonts w:ascii="思源黑体 CN" w:hAnsi="思源黑体 CN" w:eastAsia="思源黑体 CN"/>
                <w:b/>
                <w:i w:val="0"/>
                <w:color w:val="066B7C"/>
                <w:sz w:val="22"/>
              </w:rPr>
              <w:t>解读</w:t>
            </w:r>
          </w:p>
          <w:p>
            <w:pPr>
              <w:spacing w:after="40" w:line="384" w:lineRule="auto"/>
            </w:pPr>
            <w:r>
              <w:rPr>
                <w:rFonts w:ascii="思源黑体 CN" w:hAnsi="思源黑体 CN" w:eastAsia="思源黑体 CN"/>
                <w:b w:val="0"/>
                <w:i w:val="0"/>
                <w:color w:val="2A2A36"/>
                <w:sz w:val="21"/>
              </w:rPr>
              <w:t>这一构成的关键设计在于"垂直业态 + 楼宇专业化"——零售 / 演艺 / 休闲 / 艺术 / 内容 / 餐饮分楼承担，既避免业态相互干扰，又让每栋楼具备独立的 IP 与运营节奏。4# 与 5# 高层"潮玩产业集群"则与底层潮玩商业形成"楼上做内容、楼下做体验"的闭环，是项目区别于传统商业综合体的核心差异点。</w:t>
            </w:r>
          </w:p>
        </w:tc>
      </w:tr>
    </w:tbl>
    <w:p>
      <w:pPr>
        <w:spacing w:after="0"/>
      </w:pPr>
    </w:p>
    <w:p>
      <w:pPr>
        <w:spacing w:before="480" w:after="80"/>
      </w:pPr>
      <w:r>
        <w:rPr>
          <w:rFonts w:ascii="Inter" w:hAnsi="Inter" w:eastAsia="Inter"/>
          <w:b/>
          <w:i w:val="0"/>
          <w:color w:val="C2184B"/>
          <w:sz w:val="44"/>
        </w:rPr>
        <w:t xml:space="preserve">三  </w:t>
      </w:r>
      <w:r>
        <w:rPr>
          <w:rFonts w:ascii="思源黑体 CN" w:hAnsi="思源黑体 CN" w:eastAsia="思源黑体 CN"/>
          <w:b/>
          <w:i w:val="0"/>
          <w:color w:val="1A1A24"/>
          <w:sz w:val="40"/>
        </w:rPr>
        <w:t>产业规划解读</w:t>
      </w:r>
    </w:p>
    <w:p>
      <w:pPr>
        <w:spacing w:after="160"/>
      </w:pPr>
      <w:r>
        <w:rPr>
          <w:rFonts w:ascii="Inter" w:hAnsi="Inter" w:eastAsia="Inter"/>
          <w:b w:val="0"/>
          <w:i w:val="0"/>
          <w:color w:val="808399"/>
          <w:sz w:val="20"/>
        </w:rPr>
        <w:t>Chapter 3 · Industry Planning</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3.1  产业定位：科技潮玩产业策源高地</w:t>
      </w:r>
    </w:p>
    <w:p>
      <w:pPr>
        <w:spacing w:before="80" w:after="80" w:line="444" w:lineRule="auto"/>
        <w:ind w:firstLine="420"/>
        <w:jc w:val="both"/>
      </w:pPr>
      <w:r>
        <w:rPr>
          <w:rFonts w:ascii="思源黑体 CN" w:hAnsi="思源黑体 CN" w:eastAsia="思源黑体 CN"/>
          <w:b w:val="0"/>
          <w:i w:val="0"/>
          <w:color w:val="2A2A36"/>
          <w:sz w:val="22"/>
        </w:rPr>
        <w:t>项目以"科技潮玩产业策源高地"为统一定位，确立三大战略目标与五大优势聚焦：</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三大战略目标：</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国际化产业枢纽 · 品牌运营高地 · IP 创制中心；</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五大优势聚焦：</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创意集聚 · 源头孵化 · 场景体验 · 生态复合 · 集约选品；</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驱动机制：</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"产业转化 + 转化产业"双轮驱动 · "投资驱动 + 市场驱动"双管齐下。</w:t>
      </w:r>
    </w:p>
    <w:tbl>
      <w:tblPr>
        <w:tblW w:type="auto" w:w="0"/>
        <w:jc w:val="left"/>
        <w:tblLayout w:type="autofit"/>
        <w:tblLook w:firstColumn="1" w:firstRow="1" w:lastColumn="0" w:lastRow="0" w:noHBand="0" w:noVBand="1" w:val="04A0"/>
      </w:tblPr>
      <w:tblGrid>
        <w:gridCol w:w="9292"/>
      </w:tblGrid>
      <w:tr>
        <w:tc>
          <w:tcPr>
            <w:tcW w:type="dxa" w:w="9292"/>
            <w:shd w:val="clear" w:color="auto" w:fill="FDF2F7"/>
            <w:tcBorders>
              <w:left w:val="single" w:sz="24" w:color="C2184B"/>
              <w:top w:val="nil" w:sz="4" w:color="D9D7E4"/>
              <w:bottom w:val="nil" w:sz="4" w:color="D9D7E4"/>
              <w:right w:val="nil" w:sz="4" w:color="D9D7E4"/>
            </w:tcBorders>
          </w:tcPr>
          <w:p>
            <w:pPr>
              <w:spacing w:before="40" w:after="40"/>
            </w:pPr>
            <w:r>
              <w:rPr>
                <w:rFonts w:ascii="思源黑体 CN" w:hAnsi="思源黑体 CN" w:eastAsia="思源黑体 CN"/>
                <w:b/>
                <w:i w:val="0"/>
                <w:color w:val="C2184B"/>
                <w:sz w:val="22"/>
              </w:rPr>
              <w:t>解读 · 两组"双"的含义</w:t>
            </w:r>
          </w:p>
          <w:p>
            <w:pPr>
              <w:spacing w:after="40" w:line="384" w:lineRule="auto"/>
            </w:pPr>
            <w:r>
              <w:rPr>
                <w:rFonts w:ascii="思源黑体 CN" w:hAnsi="思源黑体 CN" w:eastAsia="思源黑体 CN"/>
                <w:b w:val="0"/>
                <w:i w:val="0"/>
                <w:color w:val="2A2A36"/>
                <w:sz w:val="21"/>
              </w:rPr>
              <w:t>"产业转化 + 转化产业"——前者指把高校 / 央企 / 协会的研究成果与 IP 资源在项目内转化为产品；后者指通过项目反向重塑潮玩产业的供给侧（设计标准、选品流程、AI 工具链）。</w:t>
              <w:br/>
              <w:t>"投资驱动 + 市场驱动"——前者指依靠森马自有资金、政府引导基金、机构合作设立产业基础；后者指通过商业流量、活动 IP、直播电商等市场化手段反哺产业生态。这种"政府 - 资本 - 市场"三角驱动是项目可持续运营的关键。</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3.2  五层产业金字塔</w:t>
      </w:r>
    </w:p>
    <w:p>
      <w:pPr>
        <w:spacing w:before="80" w:after="80" w:line="444" w:lineRule="auto"/>
        <w:ind w:firstLine="420"/>
        <w:jc w:val="both"/>
      </w:pPr>
      <w:r>
        <w:rPr>
          <w:rFonts w:ascii="思源黑体 CN" w:hAnsi="思源黑体 CN" w:eastAsia="思源黑体 CN"/>
          <w:b w:val="0"/>
          <w:i w:val="0"/>
          <w:color w:val="2A2A36"/>
          <w:sz w:val="22"/>
        </w:rPr>
        <w:t>项目按层次构建一体化潮玩产业生态体系，比例与角色如下：</w:t>
      </w:r>
    </w:p>
    <w:tbl>
      <w:tblPr>
        <w:tblW w:type="auto" w:w="0"/>
        <w:tblLayout w:type="fixed"/>
        <w:tblLook w:firstColumn="1" w:firstRow="1" w:lastColumn="0" w:lastRow="0" w:noHBand="0" w:noVBand="1" w:val="04A0"/>
      </w:tblPr>
      <w:tblGrid>
        <w:gridCol w:w="907"/>
        <w:gridCol w:w="3061"/>
        <w:gridCol w:w="1587"/>
        <w:gridCol w:w="3402"/>
      </w:tblGrid>
      <w:tr>
        <w:tc>
          <w:tcPr>
            <w:tcW w:type="dxa" w:w="2323"/>
            <w:shd w:val="clear" w:color="auto" w:fill="2A1633"/>
            <w:vAlign w:val="center"/>
          </w:tcPr>
          <w:p>
            <w:pPr>
              <w:jc w:val="center"/>
            </w:pPr>
            <w:r/>
            <w:r>
              <w:rPr>
                <w:rFonts w:ascii="思源黑体 CN" w:hAnsi="思源黑体 CN" w:eastAsia="思源黑体 CN"/>
                <w:b/>
                <w:i w:val="0"/>
                <w:color w:val="FFFFFF"/>
                <w:sz w:val="21"/>
              </w:rPr>
              <w:t>占比</w:t>
            </w:r>
          </w:p>
        </w:tc>
        <w:tc>
          <w:tcPr>
            <w:tcW w:type="dxa" w:w="2323"/>
            <w:shd w:val="clear" w:color="auto" w:fill="2A1633"/>
            <w:vAlign w:val="center"/>
          </w:tcPr>
          <w:p>
            <w:pPr>
              <w:jc w:val="center"/>
            </w:pPr>
            <w:r/>
            <w:r>
              <w:rPr>
                <w:rFonts w:ascii="思源黑体 CN" w:hAnsi="思源黑体 CN" w:eastAsia="思源黑体 CN"/>
                <w:b/>
                <w:i w:val="0"/>
                <w:color w:val="FFFFFF"/>
                <w:sz w:val="21"/>
              </w:rPr>
              <w:t>类型</w:t>
            </w:r>
          </w:p>
        </w:tc>
        <w:tc>
          <w:tcPr>
            <w:tcW w:type="dxa" w:w="2323"/>
            <w:shd w:val="clear" w:color="auto" w:fill="2A1633"/>
            <w:vAlign w:val="center"/>
          </w:tcPr>
          <w:p>
            <w:pPr>
              <w:jc w:val="center"/>
            </w:pPr>
            <w:r/>
            <w:r>
              <w:rPr>
                <w:rFonts w:ascii="思源黑体 CN" w:hAnsi="思源黑体 CN" w:eastAsia="思源黑体 CN"/>
                <w:b/>
                <w:i w:val="0"/>
                <w:color w:val="FFFFFF"/>
                <w:sz w:val="21"/>
              </w:rPr>
              <w:t>角色</w:t>
            </w:r>
          </w:p>
        </w:tc>
        <w:tc>
          <w:tcPr>
            <w:tcW w:type="dxa" w:w="2323"/>
            <w:shd w:val="clear" w:color="auto" w:fill="2A1633"/>
            <w:vAlign w:val="center"/>
          </w:tcPr>
          <w:p>
            <w:pPr>
              <w:jc w:val="center"/>
            </w:pPr>
            <w:r/>
            <w:r>
              <w:rPr>
                <w:rFonts w:ascii="思源黑体 CN" w:hAnsi="思源黑体 CN" w:eastAsia="思源黑体 CN"/>
                <w:b/>
                <w:i w:val="0"/>
                <w:color w:val="FFFFFF"/>
                <w:sz w:val="21"/>
              </w:rPr>
              <w:t>配置</w:t>
            </w:r>
          </w:p>
        </w:tc>
      </w:tr>
      <w:tr>
        <w:tc>
          <w:tcPr>
            <w:tcW w:type="dxa" w:w="907"/>
            <w:shd w:val="clear" w:color="auto" w:fill="FFFFFF"/>
            <w:tcBorders>
              <w:top w:val="single" w:sz="4" w:color="D9D7E4"/>
              <w:bottom w:val="single" w:sz="4" w:color="D9D7E4"/>
            </w:tcBorders>
            <w:vAlign w:val="center"/>
          </w:tcPr>
          <w:p>
            <w:pPr>
              <w:spacing w:before="60" w:after="60"/>
              <w:jc w:val="center"/>
            </w:pPr>
            <w:r>
              <w:rPr>
                <w:rFonts w:ascii="Inter" w:hAnsi="Inter" w:eastAsia="Inter"/>
                <w:b/>
                <w:i w:val="0"/>
                <w:color w:val="C2184B"/>
                <w:sz w:val="22"/>
              </w:rPr>
              <w:t>10%</w:t>
            </w:r>
          </w:p>
        </w:tc>
        <w:tc>
          <w:tcPr>
            <w:tcW w:type="dxa" w:w="3061"/>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头部央企 · 行业协会</w:t>
            </w:r>
          </w:p>
        </w:tc>
        <w:tc>
          <w:tcPr>
            <w:tcW w:type="dxa" w:w="1587"/>
            <w:shd w:val="clear" w:color="auto" w:fill="FFFFFF"/>
            <w:tcBorders>
              <w:top w:val="single" w:sz="4" w:color="D9D7E4"/>
              <w:bottom w:val="single" w:sz="4" w:color="D9D7E4"/>
            </w:tcBorders>
            <w:vAlign w:val="center"/>
          </w:tcPr>
          <w:p>
            <w:pPr>
              <w:spacing w:before="60" w:after="60"/>
              <w:jc w:val="center"/>
            </w:pPr>
            <w:r>
              <w:rPr>
                <w:rFonts w:ascii="思源黑体 CN" w:hAnsi="思源黑体 CN" w:eastAsia="思源黑体 CN"/>
                <w:b/>
                <w:i w:val="0"/>
                <w:color w:val="552AA0"/>
                <w:sz w:val="21"/>
              </w:rPr>
              <w:t>导向</w:t>
            </w:r>
          </w:p>
        </w:tc>
        <w:tc>
          <w:tcPr>
            <w:tcW w:type="dxa" w:w="3402"/>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3 个 · 2,000 ㎡</w:t>
            </w:r>
          </w:p>
        </w:tc>
      </w:tr>
      <w:tr>
        <w:tc>
          <w:tcPr>
            <w:tcW w:type="dxa" w:w="907"/>
            <w:shd w:val="clear" w:color="auto" w:fill="F6F5FA"/>
            <w:tcBorders>
              <w:top w:val="single" w:sz="4" w:color="D9D7E4"/>
              <w:bottom w:val="single" w:sz="4" w:color="D9D7E4"/>
            </w:tcBorders>
            <w:vAlign w:val="center"/>
          </w:tcPr>
          <w:p>
            <w:pPr>
              <w:spacing w:before="60" w:after="60"/>
              <w:jc w:val="center"/>
            </w:pPr>
            <w:r>
              <w:rPr>
                <w:rFonts w:ascii="Inter" w:hAnsi="Inter" w:eastAsia="Inter"/>
                <w:b/>
                <w:i w:val="0"/>
                <w:color w:val="C2184B"/>
                <w:sz w:val="22"/>
              </w:rPr>
              <w:t>10%</w:t>
            </w:r>
          </w:p>
        </w:tc>
        <w:tc>
          <w:tcPr>
            <w:tcW w:type="dxa" w:w="3061"/>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共享配套服务体系</w:t>
            </w:r>
          </w:p>
        </w:tc>
        <w:tc>
          <w:tcPr>
            <w:tcW w:type="dxa" w:w="1587"/>
            <w:shd w:val="clear" w:color="auto" w:fill="F6F5FA"/>
            <w:tcBorders>
              <w:top w:val="single" w:sz="4" w:color="D9D7E4"/>
              <w:bottom w:val="single" w:sz="4" w:color="D9D7E4"/>
            </w:tcBorders>
            <w:vAlign w:val="center"/>
          </w:tcPr>
          <w:p>
            <w:pPr>
              <w:spacing w:before="60" w:after="60"/>
              <w:jc w:val="center"/>
            </w:pPr>
            <w:r>
              <w:rPr>
                <w:rFonts w:ascii="思源黑体 CN" w:hAnsi="思源黑体 CN" w:eastAsia="思源黑体 CN"/>
                <w:b/>
                <w:i w:val="0"/>
                <w:color w:val="552AA0"/>
                <w:sz w:val="21"/>
              </w:rPr>
              <w:t>吸附点</w:t>
            </w:r>
          </w:p>
        </w:tc>
        <w:tc>
          <w:tcPr>
            <w:tcW w:type="dxa" w:w="3402"/>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3 个 · 2,000 ㎡</w:t>
            </w:r>
          </w:p>
        </w:tc>
      </w:tr>
      <w:tr>
        <w:tc>
          <w:tcPr>
            <w:tcW w:type="dxa" w:w="907"/>
            <w:shd w:val="clear" w:color="auto" w:fill="FFFFFF"/>
            <w:tcBorders>
              <w:top w:val="single" w:sz="4" w:color="D9D7E4"/>
              <w:bottom w:val="single" w:sz="4" w:color="D9D7E4"/>
            </w:tcBorders>
            <w:vAlign w:val="center"/>
          </w:tcPr>
          <w:p>
            <w:pPr>
              <w:spacing w:before="60" w:after="60"/>
              <w:jc w:val="center"/>
            </w:pPr>
            <w:r>
              <w:rPr>
                <w:rFonts w:ascii="Inter" w:hAnsi="Inter" w:eastAsia="Inter"/>
                <w:b/>
                <w:i w:val="0"/>
                <w:color w:val="C2184B"/>
                <w:sz w:val="22"/>
              </w:rPr>
              <w:t>20%</w:t>
            </w:r>
          </w:p>
        </w:tc>
        <w:tc>
          <w:tcPr>
            <w:tcW w:type="dxa" w:w="3061"/>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中型潮玩运营企业</w:t>
            </w:r>
          </w:p>
        </w:tc>
        <w:tc>
          <w:tcPr>
            <w:tcW w:type="dxa" w:w="1587"/>
            <w:shd w:val="clear" w:color="auto" w:fill="FFFFFF"/>
            <w:tcBorders>
              <w:top w:val="single" w:sz="4" w:color="D9D7E4"/>
              <w:bottom w:val="single" w:sz="4" w:color="D9D7E4"/>
            </w:tcBorders>
            <w:vAlign w:val="center"/>
          </w:tcPr>
          <w:p>
            <w:pPr>
              <w:spacing w:before="60" w:after="60"/>
              <w:jc w:val="center"/>
            </w:pPr>
            <w:r>
              <w:rPr>
                <w:rFonts w:ascii="思源黑体 CN" w:hAnsi="思源黑体 CN" w:eastAsia="思源黑体 CN"/>
                <w:b/>
                <w:i w:val="0"/>
                <w:color w:val="552AA0"/>
                <w:sz w:val="21"/>
              </w:rPr>
              <w:t>基础</w:t>
            </w:r>
          </w:p>
        </w:tc>
        <w:tc>
          <w:tcPr>
            <w:tcW w:type="dxa" w:w="3402"/>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4–6 个 · 5,000 ㎡</w:t>
            </w:r>
          </w:p>
        </w:tc>
      </w:tr>
      <w:tr>
        <w:tc>
          <w:tcPr>
            <w:tcW w:type="dxa" w:w="907"/>
            <w:shd w:val="clear" w:color="auto" w:fill="F6F5FA"/>
            <w:tcBorders>
              <w:top w:val="single" w:sz="4" w:color="D9D7E4"/>
              <w:bottom w:val="single" w:sz="4" w:color="D9D7E4"/>
            </w:tcBorders>
            <w:vAlign w:val="center"/>
          </w:tcPr>
          <w:p>
            <w:pPr>
              <w:spacing w:before="60" w:after="60"/>
              <w:jc w:val="center"/>
            </w:pPr>
            <w:r>
              <w:rPr>
                <w:rFonts w:ascii="Inter" w:hAnsi="Inter" w:eastAsia="Inter"/>
                <w:b/>
                <w:i w:val="0"/>
                <w:color w:val="C2184B"/>
                <w:sz w:val="22"/>
              </w:rPr>
              <w:t>40%</w:t>
            </w:r>
          </w:p>
        </w:tc>
        <w:tc>
          <w:tcPr>
            <w:tcW w:type="dxa" w:w="3061"/>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小型潮玩运营企业</w:t>
            </w:r>
          </w:p>
        </w:tc>
        <w:tc>
          <w:tcPr>
            <w:tcW w:type="dxa" w:w="1587"/>
            <w:shd w:val="clear" w:color="auto" w:fill="F6F5FA"/>
            <w:tcBorders>
              <w:top w:val="single" w:sz="4" w:color="D9D7E4"/>
              <w:bottom w:val="single" w:sz="4" w:color="D9D7E4"/>
            </w:tcBorders>
            <w:vAlign w:val="center"/>
          </w:tcPr>
          <w:p>
            <w:pPr>
              <w:spacing w:before="60" w:after="60"/>
              <w:jc w:val="center"/>
            </w:pPr>
            <w:r>
              <w:rPr>
                <w:rFonts w:ascii="思源黑体 CN" w:hAnsi="思源黑体 CN" w:eastAsia="思源黑体 CN"/>
                <w:b/>
                <w:i w:val="0"/>
                <w:color w:val="552AA0"/>
                <w:sz w:val="21"/>
              </w:rPr>
              <w:t>骨架</w:t>
            </w:r>
          </w:p>
        </w:tc>
        <w:tc>
          <w:tcPr>
            <w:tcW w:type="dxa" w:w="3402"/>
            <w:shd w:val="clear" w:color="auto" w:fill="F6F5FA"/>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30 个 · 200–500 ㎡</w:t>
            </w:r>
          </w:p>
        </w:tc>
      </w:tr>
      <w:tr>
        <w:tc>
          <w:tcPr>
            <w:tcW w:type="dxa" w:w="907"/>
            <w:shd w:val="clear" w:color="auto" w:fill="FFFFFF"/>
            <w:tcBorders>
              <w:top w:val="single" w:sz="4" w:color="D9D7E4"/>
              <w:bottom w:val="single" w:sz="4" w:color="D9D7E4"/>
            </w:tcBorders>
            <w:vAlign w:val="center"/>
          </w:tcPr>
          <w:p>
            <w:pPr>
              <w:spacing w:before="60" w:after="60"/>
              <w:jc w:val="center"/>
            </w:pPr>
            <w:r>
              <w:rPr>
                <w:rFonts w:ascii="Inter" w:hAnsi="Inter" w:eastAsia="Inter"/>
                <w:b/>
                <w:i w:val="0"/>
                <w:color w:val="C2184B"/>
                <w:sz w:val="22"/>
              </w:rPr>
              <w:t>20%</w:t>
            </w:r>
          </w:p>
        </w:tc>
        <w:tc>
          <w:tcPr>
            <w:tcW w:type="dxa" w:w="3061"/>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中小型潮玩服务机构</w:t>
            </w:r>
          </w:p>
        </w:tc>
        <w:tc>
          <w:tcPr>
            <w:tcW w:type="dxa" w:w="1587"/>
            <w:shd w:val="clear" w:color="auto" w:fill="FFFFFF"/>
            <w:tcBorders>
              <w:top w:val="single" w:sz="4" w:color="D9D7E4"/>
              <w:bottom w:val="single" w:sz="4" w:color="D9D7E4"/>
            </w:tcBorders>
            <w:vAlign w:val="center"/>
          </w:tcPr>
          <w:p>
            <w:pPr>
              <w:spacing w:before="60" w:after="60"/>
              <w:jc w:val="center"/>
            </w:pPr>
            <w:r>
              <w:rPr>
                <w:rFonts w:ascii="思源黑体 CN" w:hAnsi="思源黑体 CN" w:eastAsia="思源黑体 CN"/>
                <w:b/>
                <w:i w:val="0"/>
                <w:color w:val="552AA0"/>
                <w:sz w:val="21"/>
              </w:rPr>
              <w:t>血肉</w:t>
            </w:r>
          </w:p>
        </w:tc>
        <w:tc>
          <w:tcPr>
            <w:tcW w:type="dxa" w:w="3402"/>
            <w:shd w:val="clear" w:color="auto" w:fill="FFFFFF"/>
            <w:tcBorders>
              <w:top w:val="single" w:sz="4" w:color="D9D7E4"/>
              <w:bottom w:val="single" w:sz="4" w:color="D9D7E4"/>
            </w:tcBorders>
            <w:vAlign w:val="center"/>
          </w:tcPr>
          <w:p>
            <w:pPr>
              <w:spacing w:before="60" w:after="60"/>
            </w:pPr>
            <w:r>
              <w:rPr>
                <w:rFonts w:ascii="思源黑体 CN" w:hAnsi="思源黑体 CN" w:eastAsia="思源黑体 CN"/>
                <w:b w:val="0"/>
                <w:i w:val="0"/>
                <w:color w:val="2A2A36"/>
                <w:sz w:val="21"/>
              </w:rPr>
              <w:t>15 个 · 200–500 ㎡</w:t>
            </w:r>
          </w:p>
        </w:tc>
      </w:tr>
    </w:tbl>
    <w:p>
      <w:pPr>
        <w:spacing w:before="80" w:after="80" w:line="384" w:lineRule="auto"/>
        <w:jc w:val="left"/>
      </w:pPr>
    </w:p>
    <w:tbl>
      <w:tblPr>
        <w:tblW w:type="auto" w:w="0"/>
        <w:jc w:val="left"/>
        <w:tblLayout w:type="autofit"/>
        <w:tblLook w:firstColumn="1" w:firstRow="1" w:lastColumn="0" w:lastRow="0" w:noHBand="0" w:noVBand="1" w:val="04A0"/>
      </w:tblPr>
      <w:tblGrid>
        <w:gridCol w:w="9292"/>
      </w:tblGrid>
      <w:tr>
        <w:tc>
          <w:tcPr>
            <w:tcW w:type="dxa" w:w="9292"/>
            <w:shd w:val="clear" w:color="auto" w:fill="F6F5FA"/>
            <w:tcBorders>
              <w:left w:val="single" w:sz="24" w:color="552AA0"/>
              <w:top w:val="nil" w:sz="4" w:color="D9D7E4"/>
              <w:bottom w:val="nil" w:sz="4" w:color="D9D7E4"/>
              <w:right w:val="nil" w:sz="4" w:color="D9D7E4"/>
            </w:tcBorders>
          </w:tcPr>
          <w:p>
            <w:pPr>
              <w:spacing w:before="40" w:after="40"/>
            </w:pPr>
            <w:r>
              <w:rPr>
                <w:rFonts w:ascii="思源黑体 CN" w:hAnsi="思源黑体 CN" w:eastAsia="思源黑体 CN"/>
                <w:b/>
                <w:i w:val="0"/>
                <w:color w:val="552AA0"/>
                <w:sz w:val="22"/>
              </w:rPr>
              <w:t>解读 · 金字塔背后的逻辑</w:t>
            </w:r>
          </w:p>
          <w:p>
            <w:pPr>
              <w:spacing w:after="40" w:line="384" w:lineRule="auto"/>
            </w:pPr>
            <w:r>
              <w:rPr>
                <w:rFonts w:ascii="思源黑体 CN" w:hAnsi="思源黑体 CN" w:eastAsia="思源黑体 CN"/>
                <w:b w:val="0"/>
                <w:i w:val="0"/>
                <w:color w:val="2A2A36"/>
                <w:sz w:val="21"/>
              </w:rPr>
              <w:t>该结构呈"小头 + 实腰 + 长尾"形态，比单纯"二八结构"更接近真实的潮玩产业生态。头部 10% 起信用背书与政策对接作用；20% 共享配套是"产业土壤"；中型 + 小型企业（合计 60%）承担实际产能；最末端 20% 服务机构承担"血肉补充"，形成 200–500㎡ 大量灵活工位的高密度入孵环境。这一比例与企业数量（3+3+5+30+15 ≈ 56 家）的设定，体现了项目对潮玩产业"创意密集型 + 长尾化 + 小批量多频次"特性的精准回应。</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3.3  双产业牌照</w:t>
      </w:r>
    </w:p>
    <w:p>
      <w:pPr>
        <w:spacing w:before="80" w:after="80" w:line="444" w:lineRule="auto"/>
        <w:ind w:firstLine="420"/>
        <w:jc w:val="both"/>
      </w:pPr>
      <w:r>
        <w:rPr>
          <w:rFonts w:ascii="思源黑体 CN" w:hAnsi="思源黑体 CN" w:eastAsia="思源黑体 CN"/>
          <w:b w:val="0"/>
          <w:i w:val="0"/>
          <w:color w:val="2A2A36"/>
          <w:sz w:val="22"/>
        </w:rPr>
        <w:t>项目已确认与中国百货协会和中国动漫集团在本项目共同设立两大产业牌照：</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潮玩次元商业专委会：</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4 月起中百协潮玩次元商业专委会（筹）开始筹备，6 月在济南理事会会议正式挂牌成立，业务往来已正常开展；</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AI 潮玩产业基地：</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合作资源涵盖中国动漫集团、上海交大设计学院、闵行科协、森马集团等。未来活动包括"全国潮玩设计技能大赛""国漫·潮游集""动漫新品及跨界产品首发会"等。</w:t>
      </w:r>
    </w:p>
    <w:tbl>
      <w:tblPr>
        <w:tblW w:type="auto" w:w="0"/>
        <w:jc w:val="left"/>
        <w:tblLayout w:type="autofit"/>
        <w:tblLook w:firstColumn="1" w:firstRow="1" w:lastColumn="0" w:lastRow="0" w:noHBand="0" w:noVBand="1" w:val="04A0"/>
      </w:tblPr>
      <w:tblGrid>
        <w:gridCol w:w="9292"/>
      </w:tblGrid>
      <w:tr>
        <w:tc>
          <w:tcPr>
            <w:tcW w:type="dxa" w:w="9292"/>
            <w:shd w:val="clear" w:color="auto" w:fill="FDF2F7"/>
            <w:tcBorders>
              <w:left w:val="single" w:sz="24" w:color="C2184B"/>
              <w:top w:val="nil" w:sz="4" w:color="D9D7E4"/>
              <w:bottom w:val="nil" w:sz="4" w:color="D9D7E4"/>
              <w:right w:val="nil" w:sz="4" w:color="D9D7E4"/>
            </w:tcBorders>
          </w:tcPr>
          <w:p>
            <w:pPr>
              <w:spacing w:before="40" w:after="40"/>
            </w:pPr>
            <w:r>
              <w:rPr>
                <w:rFonts w:ascii="思源黑体 CN" w:hAnsi="思源黑体 CN" w:eastAsia="思源黑体 CN"/>
                <w:b/>
                <w:i w:val="0"/>
                <w:color w:val="C2184B"/>
                <w:sz w:val="22"/>
              </w:rPr>
              <w:t>解读 · 牌照的真正价值</w:t>
            </w:r>
          </w:p>
          <w:p>
            <w:pPr>
              <w:spacing w:after="40" w:line="384" w:lineRule="auto"/>
            </w:pPr>
            <w:r>
              <w:rPr>
                <w:rFonts w:ascii="思源黑体 CN" w:hAnsi="思源黑体 CN" w:eastAsia="思源黑体 CN"/>
                <w:b w:val="0"/>
                <w:i w:val="0"/>
                <w:color w:val="2A2A36"/>
                <w:sz w:val="21"/>
              </w:rPr>
              <w:t>在潮玩这种新兴产业，"标准制定权"和"行业话语权"是稀缺的战略资产。通过中百协（商业渠道权威）+ 中国动漫集团（内容与 IP 权威）双牌照，项目将获得：① 行业活动的优先承办权；② 行业标准与统计数据的合作话语权；③ 对接全国会员单位、设计院校、动漫机构的天然通道；④ 政府层面的政策对接信用增信。这是普通商业项目难以复制的"软基础设施"。</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3.4  六大产业配套平台</w:t>
      </w:r>
    </w:p>
    <w:p>
      <w:pPr>
        <w:spacing w:before="80" w:after="80" w:line="444" w:lineRule="auto"/>
        <w:ind w:firstLine="420"/>
        <w:jc w:val="both"/>
      </w:pPr>
      <w:r>
        <w:rPr>
          <w:rFonts w:ascii="思源黑体 CN" w:hAnsi="思源黑体 CN" w:eastAsia="思源黑体 CN"/>
          <w:b w:val="0"/>
          <w:i w:val="0"/>
          <w:color w:val="2A2A36"/>
          <w:sz w:val="22"/>
        </w:rPr>
        <w:t>为支撑潮玩产业生态，项目自建六大产业配套平台：</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选品中心（1# 4F）：</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华东首个 IP 潮玩选品 + 仓储式销售空间，助力客户批发选品。</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代运营物流中心（森马二期仓库）：</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联动骏耀科技，提供智能仓储 + 物流代运营服务。</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共享直播中心（4# 4F）：</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潮玩电商直播间，联动绮丽少女女团直播，服务产业销售需求。</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AI 共享设计中心（4# 5F）：</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联动高校人才资源，引入 AI 科技，共建 AI 潮玩设计中心。</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AI 共享打样 / DIY（4# 5F）：</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助力客户快速打样，提高面世效率。</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潮玩产业展厅（5# 5F）：</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聚焦品牌 IP 叙事，强化行业交流与渠道拓展。</w:t>
      </w:r>
    </w:p>
    <w:tbl>
      <w:tblPr>
        <w:tblW w:type="auto" w:w="0"/>
        <w:jc w:val="left"/>
        <w:tblLayout w:type="autofit"/>
        <w:tblLook w:firstColumn="1" w:firstRow="1" w:lastColumn="0" w:lastRow="0" w:noHBand="0" w:noVBand="1" w:val="04A0"/>
      </w:tblPr>
      <w:tblGrid>
        <w:gridCol w:w="9292"/>
      </w:tblGrid>
      <w:tr>
        <w:tc>
          <w:tcPr>
            <w:tcW w:type="dxa" w:w="9292"/>
            <w:shd w:val="clear" w:color="auto" w:fill="F0F8FA"/>
            <w:tcBorders>
              <w:left w:val="single" w:sz="24" w:color="066B7C"/>
              <w:top w:val="nil" w:sz="4" w:color="D9D7E4"/>
              <w:bottom w:val="nil" w:sz="4" w:color="D9D7E4"/>
              <w:right w:val="nil" w:sz="4" w:color="D9D7E4"/>
            </w:tcBorders>
          </w:tcPr>
          <w:p>
            <w:pPr>
              <w:spacing w:before="40" w:after="40"/>
            </w:pPr>
            <w:r>
              <w:rPr>
                <w:rFonts w:ascii="思源黑体 CN" w:hAnsi="思源黑体 CN" w:eastAsia="思源黑体 CN"/>
                <w:b/>
                <w:i w:val="0"/>
                <w:color w:val="066B7C"/>
                <w:sz w:val="22"/>
              </w:rPr>
              <w:t>解读 · 完整的"潮玩产业服务总线"</w:t>
            </w:r>
          </w:p>
          <w:p>
            <w:pPr>
              <w:spacing w:after="40" w:line="384" w:lineRule="auto"/>
            </w:pPr>
            <w:r>
              <w:rPr>
                <w:rFonts w:ascii="思源黑体 CN" w:hAnsi="思源黑体 CN" w:eastAsia="思源黑体 CN"/>
                <w:b w:val="0"/>
                <w:i w:val="0"/>
                <w:color w:val="2A2A36"/>
                <w:sz w:val="21"/>
              </w:rPr>
              <w:t>这六个平台覆盖了潮玩从"创意—设计—打样—试销—展演—分销"的完整链条，具有显著的全产业链整合属性。尤其是 AI 共享设计 + AI 打样的组合，将传统 3–6 个月的产品周期压缩到数周量级，极大降低中小潮玩创业团队的门槛。这是项目最具技术含量与未来想象空间的核心环节。</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3.5  三轨并行的产业服务体系</w:t>
      </w:r>
    </w:p>
    <w:tbl>
      <w:tblPr>
        <w:tblW w:type="auto" w:w="0"/>
        <w:tblLayout w:type="fixed"/>
        <w:tblLook w:firstColumn="1" w:firstRow="1" w:lastColumn="0" w:lastRow="0" w:noHBand="0" w:noVBand="1" w:val="04A0"/>
      </w:tblPr>
      <w:tblGrid>
        <w:gridCol w:w="2041"/>
        <w:gridCol w:w="6917"/>
      </w:tblGrid>
      <w:tr>
        <w:tc>
          <w:tcPr>
            <w:tcW w:type="dxa" w:w="4646"/>
            <w:shd w:val="clear" w:color="auto" w:fill="2A1633"/>
            <w:vAlign w:val="center"/>
          </w:tcPr>
          <w:p>
            <w:pPr>
              <w:jc w:val="center"/>
            </w:pPr>
            <w:r/>
            <w:r>
              <w:rPr>
                <w:rFonts w:ascii="思源黑体 CN" w:hAnsi="思源黑体 CN" w:eastAsia="思源黑体 CN"/>
                <w:b/>
                <w:i w:val="0"/>
                <w:color w:val="FFFFFF"/>
                <w:sz w:val="21"/>
              </w:rPr>
              <w:t>模式</w:t>
            </w:r>
          </w:p>
        </w:tc>
        <w:tc>
          <w:tcPr>
            <w:tcW w:type="dxa" w:w="4646"/>
            <w:shd w:val="clear" w:color="auto" w:fill="2A1633"/>
            <w:vAlign w:val="center"/>
          </w:tcPr>
          <w:p>
            <w:pPr>
              <w:jc w:val="center"/>
            </w:pPr>
            <w:r/>
            <w:r>
              <w:rPr>
                <w:rFonts w:ascii="思源黑体 CN" w:hAnsi="思源黑体 CN" w:eastAsia="思源黑体 CN"/>
                <w:b/>
                <w:i w:val="0"/>
                <w:color w:val="FFFFFF"/>
                <w:sz w:val="21"/>
              </w:rPr>
              <w:t>内容</w:t>
            </w:r>
          </w:p>
        </w:tc>
      </w:tr>
      <w:tr>
        <w:tc>
          <w:tcPr>
            <w:tcW w:type="dxa" w:w="2041"/>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2"/>
              </w:rPr>
              <w:t>企业主导自营</w:t>
            </w:r>
          </w:p>
        </w:tc>
        <w:tc>
          <w:tcPr>
            <w:tcW w:type="dxa" w:w="6917"/>
            <w:tcBorders>
              <w:top w:val="single" w:sz="4" w:color="D9D7E4"/>
              <w:bottom w:val="single" w:sz="4" w:color="D9D7E4"/>
            </w:tcBorders>
            <w:shd w:val="clear" w:color="auto" w:fill="FFFFFF"/>
            <w:vAlign w:val="center"/>
          </w:tcPr>
          <w:p>
            <w:pPr>
              <w:spacing w:before="60" w:after="60" w:line="384" w:lineRule="auto"/>
            </w:pPr>
            <w:r>
              <w:rPr>
                <w:rFonts w:ascii="思源黑体 CN" w:hAnsi="思源黑体 CN" w:eastAsia="思源黑体 CN"/>
                <w:b w:val="0"/>
                <w:i w:val="0"/>
                <w:color w:val="2A2A36"/>
                <w:sz w:val="21"/>
              </w:rPr>
              <w:t>保障配套服务提供能力：自持综合服务中心、园区餐饮、商务办公、中小型设计工作室、人才与财务服务中心。</w:t>
            </w:r>
          </w:p>
        </w:tc>
      </w:tr>
      <w:tr>
        <w:tc>
          <w:tcPr>
            <w:tcW w:type="dxa" w:w="2041"/>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i w:val="0"/>
                <w:color w:val="C2184B"/>
                <w:sz w:val="22"/>
              </w:rPr>
              <w:t>绿色通道协助</w:t>
            </w:r>
          </w:p>
        </w:tc>
        <w:tc>
          <w:tcPr>
            <w:tcW w:type="dxa" w:w="6917"/>
            <w:tcBorders>
              <w:top w:val="single" w:sz="4" w:color="D9D7E4"/>
              <w:bottom w:val="single" w:sz="4" w:color="D9D7E4"/>
            </w:tcBorders>
            <w:shd w:val="clear" w:color="auto" w:fill="F6F5FA"/>
            <w:vAlign w:val="center"/>
          </w:tcPr>
          <w:p>
            <w:pPr>
              <w:spacing w:before="60" w:after="60" w:line="384" w:lineRule="auto"/>
            </w:pPr>
            <w:r>
              <w:rPr>
                <w:rFonts w:ascii="思源黑体 CN" w:hAnsi="思源黑体 CN" w:eastAsia="思源黑体 CN"/>
                <w:b w:val="0"/>
                <w:i w:val="0"/>
                <w:color w:val="2A2A36"/>
                <w:sz w:val="21"/>
              </w:rPr>
              <w:t>发挥行政力量的能动性，申请街道政府开启绿色通道：行政审批、企业代办、申报协调等。</w:t>
            </w:r>
          </w:p>
        </w:tc>
      </w:tr>
      <w:tr>
        <w:tc>
          <w:tcPr>
            <w:tcW w:type="dxa" w:w="2041"/>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2"/>
              </w:rPr>
              <w:t>机构专业运营</w:t>
            </w:r>
          </w:p>
        </w:tc>
        <w:tc>
          <w:tcPr>
            <w:tcW w:type="dxa" w:w="6917"/>
            <w:tcBorders>
              <w:top w:val="single" w:sz="4" w:color="D9D7E4"/>
              <w:bottom w:val="single" w:sz="4" w:color="D9D7E4"/>
            </w:tcBorders>
            <w:shd w:val="clear" w:color="auto" w:fill="FFFFFF"/>
            <w:vAlign w:val="center"/>
          </w:tcPr>
          <w:p>
            <w:pPr>
              <w:spacing w:before="60" w:after="60" w:line="384" w:lineRule="auto"/>
            </w:pPr>
            <w:r>
              <w:rPr>
                <w:rFonts w:ascii="思源黑体 CN" w:hAnsi="思源黑体 CN" w:eastAsia="思源黑体 CN"/>
                <w:b w:val="0"/>
                <w:i w:val="0"/>
                <w:color w:val="2A2A36"/>
                <w:sz w:val="21"/>
              </w:rPr>
              <w:t>引入专业潮玩产业服务机构，提供客户招聘、人力资源管理、人才培训、财务服务、科技金融等专业服务。</w:t>
            </w:r>
          </w:p>
        </w:tc>
      </w:tr>
    </w:tbl>
    <w:p>
      <w:pPr>
        <w:spacing w:before="480" w:after="80"/>
      </w:pPr>
      <w:r>
        <w:rPr>
          <w:rFonts w:ascii="Inter" w:hAnsi="Inter" w:eastAsia="Inter"/>
          <w:b/>
          <w:i w:val="0"/>
          <w:color w:val="C2184B"/>
          <w:sz w:val="44"/>
        </w:rPr>
        <w:t xml:space="preserve">四  </w:t>
      </w:r>
      <w:r>
        <w:rPr>
          <w:rFonts w:ascii="思源黑体 CN" w:hAnsi="思源黑体 CN" w:eastAsia="思源黑体 CN"/>
          <w:b/>
          <w:i w:val="0"/>
          <w:color w:val="1A1A24"/>
          <w:sz w:val="40"/>
        </w:rPr>
        <w:t>商业规划解读</w:t>
      </w:r>
    </w:p>
    <w:p>
      <w:pPr>
        <w:spacing w:after="160"/>
      </w:pPr>
      <w:r>
        <w:rPr>
          <w:rFonts w:ascii="Inter" w:hAnsi="Inter" w:eastAsia="Inter"/>
          <w:b w:val="0"/>
          <w:i w:val="0"/>
          <w:color w:val="808399"/>
          <w:sz w:val="20"/>
        </w:rPr>
        <w:t>Chapter 4 · Commercial Planning</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4.1  商业定位：Z·世代潮玩社交主场</w:t>
      </w:r>
    </w:p>
    <w:p>
      <w:pPr>
        <w:spacing w:before="80" w:after="80" w:line="444" w:lineRule="auto"/>
        <w:ind w:firstLine="420"/>
        <w:jc w:val="both"/>
      </w:pPr>
      <w:r>
        <w:rPr>
          <w:rFonts w:ascii="思源黑体 CN" w:hAnsi="思源黑体 CN" w:eastAsia="思源黑体 CN"/>
          <w:b w:val="0"/>
          <w:i w:val="0"/>
          <w:color w:val="2A2A36"/>
          <w:sz w:val="22"/>
        </w:rPr>
        <w:t>项目提出三层递进式商业定位：</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功能层：</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Z·世代潮玩社交主场——核心客群锚定 15–30 岁泛潮玩与二次元客群；</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体验层：</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潮玩元宇宙 · 青年引力场——通过 IP、艺术、直播、Livehouse 营造可沉浸的潮玩世界；</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社群层：</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潮玩艺术爱好者聚集地——形成具有圈层归属感的内容社区。</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4.2  楼层业态垂直落位</w:t>
      </w:r>
    </w:p>
    <w:p>
      <w:pPr>
        <w:spacing w:before="80" w:after="80" w:line="444" w:lineRule="auto"/>
        <w:ind w:firstLine="420"/>
        <w:jc w:val="both"/>
      </w:pPr>
      <w:r>
        <w:rPr>
          <w:rFonts w:ascii="思源黑体 CN" w:hAnsi="思源黑体 CN" w:eastAsia="思源黑体 CN"/>
          <w:b w:val="0"/>
          <w:i w:val="0"/>
          <w:color w:val="2A2A36"/>
          <w:sz w:val="22"/>
        </w:rPr>
        <w:t>商业部分按"垂直主题集群"组织，六栋楼分别承担差异化角色，主力业态以"★"标记：</w:t>
      </w:r>
    </w:p>
    <w:tbl>
      <w:tblPr>
        <w:tblW w:type="auto" w:w="0"/>
        <w:tblLayout w:type="fixed"/>
        <w:tblLook w:firstColumn="1" w:firstRow="1" w:lastColumn="0" w:lastRow="0" w:noHBand="0" w:noVBand="1" w:val="04A0"/>
      </w:tblPr>
      <w:tblGrid>
        <w:gridCol w:w="1020"/>
        <w:gridCol w:w="1304"/>
        <w:gridCol w:w="1304"/>
        <w:gridCol w:w="1304"/>
        <w:gridCol w:w="1304"/>
        <w:gridCol w:w="1304"/>
        <w:gridCol w:w="1304"/>
      </w:tblGrid>
      <w:tr>
        <w:tc>
          <w:tcPr>
            <w:tcW w:type="dxa" w:w="1327"/>
            <w:shd w:val="clear" w:color="auto" w:fill="2A1633"/>
            <w:vAlign w:val="center"/>
          </w:tcPr>
          <w:p>
            <w:pPr>
              <w:jc w:val="center"/>
            </w:pPr>
            <w:r/>
            <w:r>
              <w:rPr>
                <w:rFonts w:ascii="思源黑体 CN" w:hAnsi="思源黑体 CN" w:eastAsia="思源黑体 CN"/>
                <w:b/>
                <w:i w:val="0"/>
                <w:color w:val="FFFFFF"/>
                <w:sz w:val="21"/>
              </w:rPr>
              <w:t>楼层</w:t>
            </w:r>
          </w:p>
        </w:tc>
        <w:tc>
          <w:tcPr>
            <w:tcW w:type="dxa" w:w="1327"/>
            <w:shd w:val="clear" w:color="auto" w:fill="2A1633"/>
            <w:vAlign w:val="center"/>
          </w:tcPr>
          <w:p>
            <w:pPr>
              <w:jc w:val="center"/>
            </w:pPr>
            <w:r/>
            <w:r>
              <w:rPr>
                <w:rFonts w:ascii="思源黑体 CN" w:hAnsi="思源黑体 CN" w:eastAsia="思源黑体 CN"/>
                <w:b/>
                <w:i w:val="0"/>
                <w:color w:val="FFFFFF"/>
                <w:sz w:val="21"/>
              </w:rPr>
              <w:t>1#</w:t>
            </w:r>
          </w:p>
        </w:tc>
        <w:tc>
          <w:tcPr>
            <w:tcW w:type="dxa" w:w="1327"/>
            <w:shd w:val="clear" w:color="auto" w:fill="2A1633"/>
            <w:vAlign w:val="center"/>
          </w:tcPr>
          <w:p>
            <w:pPr>
              <w:jc w:val="center"/>
            </w:pPr>
            <w:r/>
            <w:r>
              <w:rPr>
                <w:rFonts w:ascii="思源黑体 CN" w:hAnsi="思源黑体 CN" w:eastAsia="思源黑体 CN"/>
                <w:b/>
                <w:i w:val="0"/>
                <w:color w:val="FFFFFF"/>
                <w:sz w:val="21"/>
              </w:rPr>
              <w:t>2#</w:t>
            </w:r>
          </w:p>
        </w:tc>
        <w:tc>
          <w:tcPr>
            <w:tcW w:type="dxa" w:w="1327"/>
            <w:shd w:val="clear" w:color="auto" w:fill="2A1633"/>
            <w:vAlign w:val="center"/>
          </w:tcPr>
          <w:p>
            <w:pPr>
              <w:jc w:val="center"/>
            </w:pPr>
            <w:r/>
            <w:r>
              <w:rPr>
                <w:rFonts w:ascii="思源黑体 CN" w:hAnsi="思源黑体 CN" w:eastAsia="思源黑体 CN"/>
                <w:b/>
                <w:i w:val="0"/>
                <w:color w:val="FFFFFF"/>
                <w:sz w:val="21"/>
              </w:rPr>
              <w:t>3#</w:t>
            </w:r>
          </w:p>
        </w:tc>
        <w:tc>
          <w:tcPr>
            <w:tcW w:type="dxa" w:w="1327"/>
            <w:shd w:val="clear" w:color="auto" w:fill="2A1633"/>
            <w:vAlign w:val="center"/>
          </w:tcPr>
          <w:p>
            <w:pPr>
              <w:jc w:val="center"/>
            </w:pPr>
            <w:r/>
            <w:r>
              <w:rPr>
                <w:rFonts w:ascii="思源黑体 CN" w:hAnsi="思源黑体 CN" w:eastAsia="思源黑体 CN"/>
                <w:b/>
                <w:i w:val="0"/>
                <w:color w:val="FFFFFF"/>
                <w:sz w:val="21"/>
              </w:rPr>
              <w:t>4#</w:t>
            </w:r>
          </w:p>
        </w:tc>
        <w:tc>
          <w:tcPr>
            <w:tcW w:type="dxa" w:w="1327"/>
            <w:shd w:val="clear" w:color="auto" w:fill="2A1633"/>
            <w:vAlign w:val="center"/>
          </w:tcPr>
          <w:p>
            <w:pPr>
              <w:jc w:val="center"/>
            </w:pPr>
            <w:r/>
            <w:r>
              <w:rPr>
                <w:rFonts w:ascii="思源黑体 CN" w:hAnsi="思源黑体 CN" w:eastAsia="思源黑体 CN"/>
                <w:b/>
                <w:i w:val="0"/>
                <w:color w:val="FFFFFF"/>
                <w:sz w:val="21"/>
              </w:rPr>
              <w:t>5#</w:t>
            </w:r>
          </w:p>
        </w:tc>
        <w:tc>
          <w:tcPr>
            <w:tcW w:type="dxa" w:w="1327"/>
            <w:shd w:val="clear" w:color="auto" w:fill="2A1633"/>
            <w:vAlign w:val="center"/>
          </w:tcPr>
          <w:p>
            <w:pPr>
              <w:jc w:val="center"/>
            </w:pPr>
            <w:r/>
            <w:r>
              <w:rPr>
                <w:rFonts w:ascii="思源黑体 CN" w:hAnsi="思源黑体 CN" w:eastAsia="思源黑体 CN"/>
                <w:b/>
                <w:i w:val="0"/>
                <w:color w:val="FFFFFF"/>
                <w:sz w:val="21"/>
              </w:rPr>
              <w:t>6#</w:t>
            </w:r>
          </w:p>
        </w:tc>
      </w:tr>
      <w:tr>
        <w:tc>
          <w:tcPr>
            <w:tcW w:type="dxa" w:w="1020"/>
            <w:tcBorders>
              <w:top w:val="single" w:sz="4" w:color="D9D7E4"/>
              <w:bottom w:val="single" w:sz="4" w:color="D9D7E4"/>
            </w:tcBorders>
            <w:vAlign w:val="center"/>
            <w:shd w:val="clear" w:color="auto" w:fill="FFFFFF"/>
          </w:tcPr>
          <w:p>
            <w:pPr>
              <w:spacing w:before="60" w:after="60"/>
              <w:jc w:val="center"/>
            </w:pPr>
            <w:r>
              <w:rPr>
                <w:rFonts w:ascii="Inter" w:hAnsi="Inter" w:eastAsia="Inter"/>
                <w:b/>
                <w:i w:val="0"/>
                <w:color w:val="C2184B"/>
                <w:sz w:val="21"/>
              </w:rPr>
              <w:t>6F+</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森马总部办公</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808399"/>
                <w:sz w:val="21"/>
              </w:rPr>
              <w:t>—</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酒店</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潮玩产业办公</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潮玩产业办公</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808399"/>
                <w:sz w:val="21"/>
              </w:rPr>
              <w:t>—</w:t>
            </w:r>
          </w:p>
        </w:tc>
      </w:tr>
      <w:tr>
        <w:tc>
          <w:tcPr>
            <w:tcW w:type="dxa" w:w="1020"/>
            <w:tcBorders>
              <w:top w:val="single" w:sz="4" w:color="D9D7E4"/>
              <w:bottom w:val="single" w:sz="4" w:color="D9D7E4"/>
            </w:tcBorders>
            <w:vAlign w:val="center"/>
            <w:shd w:val="clear" w:color="auto" w:fill="F6F5FA"/>
          </w:tcPr>
          <w:p>
            <w:pPr>
              <w:spacing w:before="60" w:after="60"/>
              <w:jc w:val="center"/>
            </w:pPr>
            <w:r>
              <w:rPr>
                <w:rFonts w:ascii="Inter" w:hAnsi="Inter" w:eastAsia="Inter"/>
                <w:b/>
                <w:i w:val="0"/>
                <w:color w:val="C2184B"/>
                <w:sz w:val="21"/>
              </w:rPr>
              <w:t>5F</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森马总部办公</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808399"/>
                <w:sz w:val="21"/>
              </w:rPr>
              <w:t>—</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酒店</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潮玩产业办公</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潮玩产业办公</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商务宴请</w:t>
            </w:r>
          </w:p>
        </w:tc>
      </w:tr>
      <w:tr>
        <w:tc>
          <w:tcPr>
            <w:tcW w:type="dxa" w:w="1020"/>
            <w:tcBorders>
              <w:top w:val="single" w:sz="4" w:color="D9D7E4"/>
              <w:bottom w:val="single" w:sz="4" w:color="D9D7E4"/>
            </w:tcBorders>
            <w:vAlign w:val="center"/>
            <w:shd w:val="clear" w:color="auto" w:fill="FFFFFF"/>
          </w:tcPr>
          <w:p>
            <w:pPr>
              <w:spacing w:before="60" w:after="60"/>
              <w:jc w:val="center"/>
            </w:pPr>
            <w:r>
              <w:rPr>
                <w:rFonts w:ascii="Inter" w:hAnsi="Inter" w:eastAsia="Inter"/>
                <w:b/>
                <w:i w:val="0"/>
                <w:color w:val="C2184B"/>
                <w:sz w:val="21"/>
              </w:rPr>
              <w:t>4F</w:t>
            </w:r>
          </w:p>
        </w:tc>
        <w:tc>
          <w:tcPr>
            <w:tcW w:type="dxa" w:w="1304"/>
            <w:tcBorders>
              <w:top w:val="single" w:sz="4" w:color="D9D7E4"/>
              <w:bottom w:val="single" w:sz="4" w:color="D9D7E4"/>
            </w:tcBorders>
            <w:vAlign w:val="center"/>
            <w:shd w:val="clear" w:color="auto" w:fill="FDF2F7"/>
          </w:tcPr>
          <w:p>
            <w:pPr>
              <w:spacing w:before="60" w:after="60"/>
              <w:jc w:val="center"/>
            </w:pPr>
            <w:r>
              <w:rPr>
                <w:rFonts w:ascii="思源黑体 CN" w:hAnsi="思源黑体 CN" w:eastAsia="思源黑体 CN"/>
                <w:b/>
                <w:i w:val="0"/>
                <w:color w:val="C2184B"/>
                <w:sz w:val="19"/>
              </w:rPr>
              <w:t>★ 旗舰零售</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二次元 Live</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休闲运动</w:t>
            </w:r>
          </w:p>
        </w:tc>
        <w:tc>
          <w:tcPr>
            <w:tcW w:type="dxa" w:w="1304"/>
            <w:tcBorders>
              <w:top w:val="single" w:sz="4" w:color="D9D7E4"/>
              <w:bottom w:val="single" w:sz="4" w:color="D9D7E4"/>
            </w:tcBorders>
            <w:vAlign w:val="center"/>
            <w:shd w:val="clear" w:color="auto" w:fill="FDF2F7"/>
          </w:tcPr>
          <w:p>
            <w:pPr>
              <w:spacing w:before="60" w:after="60"/>
              <w:jc w:val="center"/>
            </w:pPr>
            <w:r>
              <w:rPr>
                <w:rFonts w:ascii="思源黑体 CN" w:hAnsi="思源黑体 CN" w:eastAsia="思源黑体 CN"/>
                <w:b/>
                <w:i w:val="0"/>
                <w:color w:val="C2184B"/>
                <w:sz w:val="19"/>
              </w:rPr>
              <w:t>★ 直播基地</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动漫书店</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特色餐饮</w:t>
            </w:r>
          </w:p>
        </w:tc>
      </w:tr>
      <w:tr>
        <w:tc>
          <w:tcPr>
            <w:tcW w:type="dxa" w:w="1020"/>
            <w:tcBorders>
              <w:top w:val="single" w:sz="4" w:color="D9D7E4"/>
              <w:bottom w:val="single" w:sz="4" w:color="D9D7E4"/>
            </w:tcBorders>
            <w:vAlign w:val="center"/>
            <w:shd w:val="clear" w:color="auto" w:fill="F6F5FA"/>
          </w:tcPr>
          <w:p>
            <w:pPr>
              <w:spacing w:before="60" w:after="60"/>
              <w:jc w:val="center"/>
            </w:pPr>
            <w:r>
              <w:rPr>
                <w:rFonts w:ascii="Inter" w:hAnsi="Inter" w:eastAsia="Inter"/>
                <w:b/>
                <w:i w:val="0"/>
                <w:color w:val="C2184B"/>
                <w:sz w:val="21"/>
              </w:rPr>
              <w:t>3F</w:t>
            </w:r>
          </w:p>
        </w:tc>
        <w:tc>
          <w:tcPr>
            <w:tcW w:type="dxa" w:w="1304"/>
            <w:tcBorders>
              <w:top w:val="single" w:sz="4" w:color="D9D7E4"/>
              <w:bottom w:val="single" w:sz="4" w:color="D9D7E4"/>
            </w:tcBorders>
            <w:vAlign w:val="center"/>
            <w:shd w:val="clear" w:color="auto" w:fill="FDF2F7"/>
          </w:tcPr>
          <w:p>
            <w:pPr>
              <w:spacing w:before="60" w:after="60"/>
              <w:jc w:val="center"/>
            </w:pPr>
            <w:r>
              <w:rPr>
                <w:rFonts w:ascii="思源黑体 CN" w:hAnsi="思源黑体 CN" w:eastAsia="思源黑体 CN"/>
                <w:b/>
                <w:i w:val="0"/>
                <w:color w:val="C2184B"/>
                <w:sz w:val="19"/>
              </w:rPr>
              <w:t>★ 旗舰零售</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二次元 Live</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萌宠空间</w:t>
            </w:r>
          </w:p>
        </w:tc>
        <w:tc>
          <w:tcPr>
            <w:tcW w:type="dxa" w:w="1304"/>
            <w:tcBorders>
              <w:top w:val="single" w:sz="4" w:color="D9D7E4"/>
              <w:bottom w:val="single" w:sz="4" w:color="D9D7E4"/>
            </w:tcBorders>
            <w:vAlign w:val="center"/>
            <w:shd w:val="clear" w:color="auto" w:fill="FDF2F7"/>
          </w:tcPr>
          <w:p>
            <w:pPr>
              <w:spacing w:before="60" w:after="60"/>
              <w:jc w:val="center"/>
            </w:pPr>
            <w:r>
              <w:rPr>
                <w:rFonts w:ascii="思源黑体 CN" w:hAnsi="思源黑体 CN" w:eastAsia="思源黑体 CN"/>
                <w:b/>
                <w:i w:val="0"/>
                <w:color w:val="C2184B"/>
                <w:sz w:val="19"/>
              </w:rPr>
              <w:t>★ 潮玩艺术</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动漫书店</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t>品质生活</w:t>
            </w:r>
          </w:p>
        </w:tc>
      </w:tr>
      <w:tr>
        <w:tc>
          <w:tcPr>
            <w:tcW w:type="dxa" w:w="1020"/>
            <w:tcBorders>
              <w:top w:val="single" w:sz="4" w:color="D9D7E4"/>
              <w:bottom w:val="single" w:sz="4" w:color="D9D7E4"/>
            </w:tcBorders>
            <w:vAlign w:val="center"/>
            <w:shd w:val="clear" w:color="auto" w:fill="FFFFFF"/>
          </w:tcPr>
          <w:p>
            <w:pPr>
              <w:spacing w:before="60" w:after="60"/>
              <w:jc w:val="center"/>
            </w:pPr>
            <w:r>
              <w:rPr>
                <w:rFonts w:ascii="Inter" w:hAnsi="Inter" w:eastAsia="Inter"/>
                <w:b/>
                <w:i w:val="0"/>
                <w:color w:val="C2184B"/>
                <w:sz w:val="21"/>
              </w:rPr>
              <w:t>2F</w:t>
            </w:r>
          </w:p>
        </w:tc>
        <w:tc>
          <w:tcPr>
            <w:tcW w:type="dxa" w:w="1304"/>
            <w:tcBorders>
              <w:top w:val="single" w:sz="4" w:color="D9D7E4"/>
              <w:bottom w:val="single" w:sz="4" w:color="D9D7E4"/>
            </w:tcBorders>
            <w:vAlign w:val="center"/>
            <w:shd w:val="clear" w:color="auto" w:fill="FDF2F7"/>
          </w:tcPr>
          <w:p>
            <w:pPr>
              <w:spacing w:before="60" w:after="60"/>
              <w:jc w:val="center"/>
            </w:pPr>
            <w:r>
              <w:rPr>
                <w:rFonts w:ascii="思源黑体 CN" w:hAnsi="思源黑体 CN" w:eastAsia="思源黑体 CN"/>
                <w:b/>
                <w:i w:val="0"/>
                <w:color w:val="C2184B"/>
                <w:sz w:val="19"/>
              </w:rPr>
              <w:t>★ 旗舰零售</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二次元 Live</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休闲运动</w:t>
            </w:r>
          </w:p>
        </w:tc>
        <w:tc>
          <w:tcPr>
            <w:tcW w:type="dxa" w:w="1304"/>
            <w:tcBorders>
              <w:top w:val="single" w:sz="4" w:color="D9D7E4"/>
              <w:bottom w:val="single" w:sz="4" w:color="D9D7E4"/>
            </w:tcBorders>
            <w:vAlign w:val="center"/>
            <w:shd w:val="clear" w:color="auto" w:fill="FDF2F7"/>
          </w:tcPr>
          <w:p>
            <w:pPr>
              <w:spacing w:before="60" w:after="60"/>
              <w:jc w:val="center"/>
            </w:pPr>
            <w:r>
              <w:rPr>
                <w:rFonts w:ascii="思源黑体 CN" w:hAnsi="思源黑体 CN" w:eastAsia="思源黑体 CN"/>
                <w:b/>
                <w:i w:val="0"/>
                <w:color w:val="C2184B"/>
                <w:sz w:val="19"/>
              </w:rPr>
              <w:t>★ 潮玩艺术</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IP 潮玩零售</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服务配套</w:t>
            </w:r>
          </w:p>
        </w:tc>
      </w:tr>
      <w:tr>
        <w:tc>
          <w:tcPr>
            <w:tcW w:type="dxa" w:w="1020"/>
            <w:tcBorders>
              <w:top w:val="single" w:sz="4" w:color="D9D7E4"/>
              <w:bottom w:val="single" w:sz="4" w:color="D9D7E4"/>
            </w:tcBorders>
            <w:vAlign w:val="center"/>
            <w:shd w:val="clear" w:color="auto" w:fill="F6F5FA"/>
          </w:tcPr>
          <w:p>
            <w:pPr>
              <w:spacing w:before="60" w:after="60"/>
              <w:jc w:val="center"/>
            </w:pPr>
            <w:r>
              <w:rPr>
                <w:rFonts w:ascii="Inter" w:hAnsi="Inter" w:eastAsia="Inter"/>
                <w:b/>
                <w:i w:val="0"/>
                <w:color w:val="C2184B"/>
                <w:sz w:val="21"/>
              </w:rPr>
              <w:t>1F</w:t>
            </w:r>
          </w:p>
        </w:tc>
        <w:tc>
          <w:tcPr>
            <w:tcW w:type="dxa" w:w="1304"/>
            <w:tcBorders>
              <w:top w:val="single" w:sz="4" w:color="D9D7E4"/>
              <w:bottom w:val="single" w:sz="4" w:color="D9D7E4"/>
            </w:tcBorders>
            <w:vAlign w:val="center"/>
            <w:shd w:val="clear" w:color="auto" w:fill="FDF2F7"/>
          </w:tcPr>
          <w:p>
            <w:pPr>
              <w:spacing w:before="60" w:after="60"/>
              <w:jc w:val="center"/>
            </w:pPr>
            <w:r>
              <w:rPr>
                <w:rFonts w:ascii="思源黑体 CN" w:hAnsi="思源黑体 CN" w:eastAsia="思源黑体 CN"/>
                <w:b/>
                <w:i w:val="0"/>
                <w:color w:val="C2184B"/>
                <w:sz w:val="19"/>
              </w:rPr>
              <w:t>★ IP 潮玩街区（六栋贯通）</w:t>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6F5FA"/>
          </w:tcPr>
          <w:p>
            <w:pPr>
              <w:spacing w:before="60" w:after="60"/>
              <w:jc w:val="center"/>
            </w:pPr>
            <w:r>
              <w:rPr>
                <w:rFonts w:ascii="思源黑体 CN" w:hAnsi="思源黑体 CN" w:eastAsia="思源黑体 CN"/>
                <w:b w:val="0"/>
                <w:i w:val="0"/>
                <w:color w:val="2A2A36"/>
                <w:sz w:val="19"/>
              </w:rPr>
            </w:r>
          </w:p>
        </w:tc>
      </w:tr>
      <w:tr>
        <w:tc>
          <w:tcPr>
            <w:tcW w:type="dxa" w:w="1020"/>
            <w:tcBorders>
              <w:top w:val="single" w:sz="4" w:color="D9D7E4"/>
              <w:bottom w:val="single" w:sz="4" w:color="D9D7E4"/>
            </w:tcBorders>
            <w:vAlign w:val="center"/>
            <w:shd w:val="clear" w:color="auto" w:fill="FFFFFF"/>
          </w:tcPr>
          <w:p>
            <w:pPr>
              <w:spacing w:before="60" w:after="60"/>
              <w:jc w:val="center"/>
            </w:pPr>
            <w:r>
              <w:rPr>
                <w:rFonts w:ascii="Inter" w:hAnsi="Inter" w:eastAsia="Inter"/>
                <w:b/>
                <w:i w:val="0"/>
                <w:color w:val="C2184B"/>
                <w:sz w:val="21"/>
              </w:rPr>
              <w:t>B1/B2</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t>停车场</w:t>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r>
          </w:p>
        </w:tc>
        <w:tc>
          <w:tcPr>
            <w:tcW w:type="dxa" w:w="1304"/>
            <w:tcBorders>
              <w:top w:val="single" w:sz="4" w:color="D9D7E4"/>
              <w:bottom w:val="single" w:sz="4" w:color="D9D7E4"/>
            </w:tcBorders>
            <w:vAlign w:val="center"/>
            <w:shd w:val="clear" w:color="auto" w:fill="FFFFFF"/>
          </w:tcPr>
          <w:p>
            <w:pPr>
              <w:spacing w:before="60" w:after="60"/>
              <w:jc w:val="center"/>
            </w:pPr>
            <w:r>
              <w:rPr>
                <w:rFonts w:ascii="思源黑体 CN" w:hAnsi="思源黑体 CN" w:eastAsia="思源黑体 CN"/>
                <w:b w:val="0"/>
                <w:i w:val="0"/>
                <w:color w:val="2A2A36"/>
                <w:sz w:val="19"/>
              </w:rPr>
            </w:r>
          </w:p>
        </w:tc>
      </w:tr>
    </w:tbl>
    <w:p>
      <w:pPr>
        <w:spacing w:before="80" w:after="80" w:line="384" w:lineRule="auto"/>
        <w:jc w:val="left"/>
      </w:pPr>
    </w:p>
    <w:tbl>
      <w:tblPr>
        <w:tblW w:type="auto" w:w="0"/>
        <w:jc w:val="left"/>
        <w:tblLayout w:type="autofit"/>
        <w:tblLook w:firstColumn="1" w:firstRow="1" w:lastColumn="0" w:lastRow="0" w:noHBand="0" w:noVBand="1" w:val="04A0"/>
      </w:tblPr>
      <w:tblGrid>
        <w:gridCol w:w="9292"/>
      </w:tblGrid>
      <w:tr>
        <w:tc>
          <w:tcPr>
            <w:tcW w:type="dxa" w:w="9292"/>
            <w:shd w:val="clear" w:color="auto" w:fill="F6F5FA"/>
            <w:tcBorders>
              <w:left w:val="single" w:sz="24" w:color="552AA0"/>
              <w:top w:val="nil" w:sz="4" w:color="D9D7E4"/>
              <w:bottom w:val="nil" w:sz="4" w:color="D9D7E4"/>
              <w:right w:val="nil" w:sz="4" w:color="D9D7E4"/>
            </w:tcBorders>
          </w:tcPr>
          <w:p>
            <w:pPr>
              <w:spacing w:before="40" w:after="40"/>
            </w:pPr>
            <w:r>
              <w:rPr>
                <w:rFonts w:ascii="思源黑体 CN" w:hAnsi="思源黑体 CN" w:eastAsia="思源黑体 CN"/>
                <w:b/>
                <w:i w:val="0"/>
                <w:color w:val="552AA0"/>
                <w:sz w:val="22"/>
              </w:rPr>
              <w:t>解读 · 商业空间的"叙事流"</w:t>
            </w:r>
          </w:p>
          <w:p>
            <w:pPr>
              <w:spacing w:after="40" w:line="384" w:lineRule="auto"/>
            </w:pPr>
            <w:r>
              <w:rPr>
                <w:rFonts w:ascii="思源黑体 CN" w:hAnsi="思源黑体 CN" w:eastAsia="思源黑体 CN"/>
                <w:b w:val="0"/>
                <w:i w:val="0"/>
                <w:color w:val="2A2A36"/>
                <w:sz w:val="21"/>
              </w:rPr>
              <w:t>观察这张表可以发现一个隐性的"消费叙事流"：1F 全栋贯通的 IP 潮玩街区作为"入口与流量层"，吸引泛客群入场；2–4F 形成"主力业态层"，由旗舰零售、潮玩艺术、直播基地、二次元 Livehouse 等深度内容空间组成；5F 以上则是"产业层"，将商业流量与产业研发紧密耦合。这种"流量层—体验层—产业层"的垂直叙事结构是项目商业策划的最大创新点。</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4.3  五大主力业态</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动漫潮玩谷主题街区（~3,000 ㎡）：</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南上海首个动漫潮玩主题商业街区，二次元品牌形象展示中心为意向品牌。</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IP 潮玩选品 &amp; 仓储式零售中心（~5,000 ㎡）：</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华东首个 IP 潮玩选品 + 仓储式零售中心，意向品牌：秋子 ACG 超级贩卖仓、轻语有品潮玩仓储超市、宏腾玩具选品中心。</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潮玩艺术中心（2,000 ㎡（4# 1–3F））：</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南上海首个特色艺术文化体验空间，依托特色空间和强展陈能力打造先锋潮流艺术地标。</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森马展厅 &amp; 二次元 Livehouse（700 ㎡）：</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国内首个二次元主题 Livehouse，意向品牌：绮丽少女。</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动漫主题书店（1,500 ㎡）：</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南上海首个动漫主题书店，集全球动漫书籍展售、签售活动、主题咖啡于一体。意向品牌：超级悦沢、樱漫书店。</w:t>
      </w:r>
    </w:p>
    <w:tbl>
      <w:tblPr>
        <w:tblW w:type="auto" w:w="0"/>
        <w:jc w:val="left"/>
        <w:tblLayout w:type="autofit"/>
        <w:tblLook w:firstColumn="1" w:firstRow="1" w:lastColumn="0" w:lastRow="0" w:noHBand="0" w:noVBand="1" w:val="04A0"/>
      </w:tblPr>
      <w:tblGrid>
        <w:gridCol w:w="9292"/>
      </w:tblGrid>
      <w:tr>
        <w:tc>
          <w:tcPr>
            <w:tcW w:type="dxa" w:w="9292"/>
            <w:shd w:val="clear" w:color="auto" w:fill="FDF2F7"/>
            <w:tcBorders>
              <w:left w:val="single" w:sz="24" w:color="C2184B"/>
              <w:top w:val="nil" w:sz="4" w:color="D9D7E4"/>
              <w:bottom w:val="nil" w:sz="4" w:color="D9D7E4"/>
              <w:right w:val="nil" w:sz="4" w:color="D9D7E4"/>
            </w:tcBorders>
          </w:tcPr>
          <w:p>
            <w:pPr>
              <w:spacing w:before="40" w:after="40"/>
            </w:pPr>
            <w:r>
              <w:rPr>
                <w:rFonts w:ascii="思源黑体 CN" w:hAnsi="思源黑体 CN" w:eastAsia="思源黑体 CN"/>
                <w:b/>
                <w:i w:val="0"/>
                <w:color w:val="C2184B"/>
                <w:sz w:val="22"/>
              </w:rPr>
              <w:t>解读 · 多个"首个"的意义</w:t>
            </w:r>
          </w:p>
          <w:p>
            <w:pPr>
              <w:spacing w:after="40" w:line="384" w:lineRule="auto"/>
            </w:pPr>
            <w:r>
              <w:rPr>
                <w:rFonts w:ascii="思源黑体 CN" w:hAnsi="思源黑体 CN" w:eastAsia="思源黑体 CN"/>
                <w:b w:val="0"/>
                <w:i w:val="0"/>
                <w:color w:val="2A2A36"/>
                <w:sz w:val="21"/>
              </w:rPr>
              <w:t>主力业态密集使用了"南上海首个 / 华东首个 / 国内首个"等定位语，本质上是用"首创性"换取流量稀缺性。在潮玩商业供给同质化日益严重的当下，这种由"地理首发权"+"业态首发权"组合形成的认知壁垒，是项目能在开业初期快速形成话题与客流的关键。</w:t>
            </w:r>
          </w:p>
        </w:tc>
      </w:tr>
    </w:tbl>
    <w:p>
      <w:pPr>
        <w:spacing w:after="0"/>
      </w:pPr>
    </w:p>
    <w:p>
      <w:pPr>
        <w:spacing w:before="480" w:after="80"/>
      </w:pPr>
      <w:r>
        <w:rPr>
          <w:rFonts w:ascii="Inter" w:hAnsi="Inter" w:eastAsia="Inter"/>
          <w:b/>
          <w:i w:val="0"/>
          <w:color w:val="C2184B"/>
          <w:sz w:val="44"/>
        </w:rPr>
        <w:t xml:space="preserve">五  </w:t>
      </w:r>
      <w:r>
        <w:rPr>
          <w:rFonts w:ascii="思源黑体 CN" w:hAnsi="思源黑体 CN" w:eastAsia="思源黑体 CN"/>
          <w:b/>
          <w:i w:val="0"/>
          <w:color w:val="1A1A24"/>
          <w:sz w:val="40"/>
        </w:rPr>
        <w:t>运营与合作策略</w:t>
      </w:r>
    </w:p>
    <w:p>
      <w:pPr>
        <w:spacing w:after="160"/>
      </w:pPr>
      <w:r>
        <w:rPr>
          <w:rFonts w:ascii="Inter" w:hAnsi="Inter" w:eastAsia="Inter"/>
          <w:b w:val="0"/>
          <w:i w:val="0"/>
          <w:color w:val="808399"/>
          <w:sz w:val="20"/>
        </w:rPr>
        <w:t>Chapter 5 · Operations &amp; Cooperation</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5.1  三大旗舰活动</w:t>
      </w:r>
    </w:p>
    <w:p>
      <w:pPr>
        <w:spacing w:before="80" w:after="80" w:line="444" w:lineRule="auto"/>
        <w:ind w:firstLine="420"/>
        <w:jc w:val="both"/>
      </w:pPr>
      <w:r>
        <w:rPr>
          <w:rFonts w:ascii="思源黑体 CN" w:hAnsi="思源黑体 CN" w:eastAsia="思源黑体 CN"/>
          <w:b w:val="0"/>
          <w:i w:val="0"/>
          <w:color w:val="2A2A36"/>
          <w:sz w:val="22"/>
        </w:rPr>
        <w:t>项目以"中心广场 + 4#"为活动主舞台，规划三类年度旗舰活动：</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潮玩集市（特色集会）：</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面向泛潮玩与二次元垂类客群，开展 IP 艺术展、次元市集、嘉年华、动漫展会、二次元路演、品牌出海交流会等活动，以垂类热度延展广域客群。</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动漫新品及跨界产品首发会（产品首发）：</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聚焦年度全新动漫内容、原创 IP 形象、潮玩手办、周边衍生与跨界联名首发，集现场体验、互动打卡、合作签约于一体。</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全国潮玩设计大赛（主题大赛）：</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围绕原创 IP 形象、手办盲盒、国潮文创、数字潮玩等方向展开创作，合作单位包括中国动漫集团、上海交大设计学院等。</w:t>
      </w:r>
    </w:p>
    <w:tbl>
      <w:tblPr>
        <w:tblW w:type="auto" w:w="0"/>
        <w:jc w:val="left"/>
        <w:tblLayout w:type="autofit"/>
        <w:tblLook w:firstColumn="1" w:firstRow="1" w:lastColumn="0" w:lastRow="0" w:noHBand="0" w:noVBand="1" w:val="04A0"/>
      </w:tblPr>
      <w:tblGrid>
        <w:gridCol w:w="9292"/>
      </w:tblGrid>
      <w:tr>
        <w:tc>
          <w:tcPr>
            <w:tcW w:type="dxa" w:w="9292"/>
            <w:shd w:val="clear" w:color="auto" w:fill="F0F8FA"/>
            <w:tcBorders>
              <w:left w:val="single" w:sz="24" w:color="066B7C"/>
              <w:top w:val="nil" w:sz="4" w:color="D9D7E4"/>
              <w:bottom w:val="nil" w:sz="4" w:color="D9D7E4"/>
              <w:right w:val="nil" w:sz="4" w:color="D9D7E4"/>
            </w:tcBorders>
          </w:tcPr>
          <w:p>
            <w:pPr>
              <w:spacing w:before="40" w:after="40"/>
            </w:pPr>
            <w:r>
              <w:rPr>
                <w:rFonts w:ascii="思源黑体 CN" w:hAnsi="思源黑体 CN" w:eastAsia="思源黑体 CN"/>
                <w:b/>
                <w:i w:val="0"/>
                <w:color w:val="066B7C"/>
                <w:sz w:val="22"/>
              </w:rPr>
              <w:t>解读 · 活动—产业—商业三位一体</w:t>
            </w:r>
          </w:p>
          <w:p>
            <w:pPr>
              <w:spacing w:after="40" w:line="384" w:lineRule="auto"/>
            </w:pPr>
            <w:r>
              <w:rPr>
                <w:rFonts w:ascii="思源黑体 CN" w:hAnsi="思源黑体 CN" w:eastAsia="思源黑体 CN"/>
                <w:b w:val="0"/>
                <w:i w:val="0"/>
                <w:color w:val="2A2A36"/>
                <w:sz w:val="21"/>
              </w:rPr>
              <w:t>这三类活动构成了项目的"内容飞轮"：大赛输出创意池 → 首发会将创意转化为产品 → 集市完成最终的市场试销与扩散。三者形成的闭环，让项目从一个静态的物理空间，升级为一个具有"赛事 + 节庆 + 商务"三种节律的活内容平台。</w:t>
            </w:r>
          </w:p>
        </w:tc>
      </w:tr>
    </w:tbl>
    <w:p>
      <w:pPr>
        <w:spacing w:after="0"/>
      </w:pP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5.2  合作伙伴矩阵</w:t>
      </w:r>
    </w:p>
    <w:tbl>
      <w:tblPr>
        <w:tblW w:type="auto" w:w="0"/>
        <w:tblLayout w:type="fixed"/>
        <w:tblLook w:firstColumn="1" w:firstRow="1" w:lastColumn="0" w:lastRow="0" w:noHBand="0" w:noVBand="1" w:val="04A0"/>
      </w:tblPr>
      <w:tblGrid>
        <w:gridCol w:w="2041"/>
        <w:gridCol w:w="6917"/>
      </w:tblGrid>
      <w:tr>
        <w:tc>
          <w:tcPr>
            <w:tcW w:type="dxa" w:w="4646"/>
            <w:shd w:val="clear" w:color="auto" w:fill="2A1633"/>
            <w:vAlign w:val="center"/>
          </w:tcPr>
          <w:p>
            <w:pPr>
              <w:jc w:val="center"/>
            </w:pPr>
            <w:r/>
            <w:r>
              <w:rPr>
                <w:rFonts w:ascii="思源黑体 CN" w:hAnsi="思源黑体 CN" w:eastAsia="思源黑体 CN"/>
                <w:b/>
                <w:i w:val="0"/>
                <w:color w:val="FFFFFF"/>
                <w:sz w:val="21"/>
              </w:rPr>
              <w:t>类别</w:t>
            </w:r>
          </w:p>
        </w:tc>
        <w:tc>
          <w:tcPr>
            <w:tcW w:type="dxa" w:w="4646"/>
            <w:shd w:val="clear" w:color="auto" w:fill="2A1633"/>
            <w:vAlign w:val="center"/>
          </w:tcPr>
          <w:p>
            <w:pPr>
              <w:jc w:val="center"/>
            </w:pPr>
            <w:r/>
            <w:r>
              <w:rPr>
                <w:rFonts w:ascii="思源黑体 CN" w:hAnsi="思源黑体 CN" w:eastAsia="思源黑体 CN"/>
                <w:b/>
                <w:i w:val="0"/>
                <w:color w:val="FFFFFF"/>
                <w:sz w:val="21"/>
              </w:rPr>
              <w:t>意向 / 拟合作品牌</w:t>
            </w:r>
          </w:p>
        </w:tc>
      </w:tr>
      <w:tr>
        <w:tc>
          <w:tcPr>
            <w:tcW w:type="dxa" w:w="2041"/>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2"/>
              </w:rPr>
              <w:t>IP 潮玩 / 二次元</w:t>
            </w:r>
          </w:p>
        </w:tc>
        <w:tc>
          <w:tcPr>
            <w:tcW w:type="dxa" w:w="6917"/>
            <w:tcBorders>
              <w:top w:val="single" w:sz="4" w:color="D9D7E4"/>
              <w:bottom w:val="single" w:sz="4" w:color="D9D7E4"/>
            </w:tcBorders>
            <w:shd w:val="clear" w:color="auto" w:fill="FFFFFF"/>
            <w:vAlign w:val="center"/>
          </w:tcPr>
          <w:p>
            <w:pPr>
              <w:spacing w:before="60" w:after="60" w:line="384" w:lineRule="auto"/>
            </w:pPr>
            <w:r>
              <w:rPr>
                <w:rFonts w:ascii="思源黑体 CN" w:hAnsi="思源黑体 CN" w:eastAsia="思源黑体 CN"/>
                <w:b w:val="0"/>
                <w:i w:val="0"/>
                <w:color w:val="2A2A36"/>
                <w:sz w:val="21"/>
              </w:rPr>
              <w:t>绮丽少女、秋子 ACG 超级贩卖仓、轻语有品、宏腾玩具、超级悦沢、樱漫书店等</w:t>
            </w:r>
          </w:p>
        </w:tc>
      </w:tr>
      <w:tr>
        <w:tc>
          <w:tcPr>
            <w:tcW w:type="dxa" w:w="2041"/>
            <w:tcBorders>
              <w:top w:val="single" w:sz="4" w:color="D9D7E4"/>
              <w:bottom w:val="single" w:sz="4" w:color="D9D7E4"/>
            </w:tcBorders>
            <w:shd w:val="clear" w:color="auto" w:fill="F6F5FA"/>
            <w:vAlign w:val="center"/>
          </w:tcPr>
          <w:p>
            <w:pPr>
              <w:spacing w:before="60" w:after="60"/>
            </w:pPr>
            <w:r>
              <w:rPr>
                <w:rFonts w:ascii="思源黑体 CN" w:hAnsi="思源黑体 CN" w:eastAsia="思源黑体 CN"/>
                <w:b/>
                <w:i w:val="0"/>
                <w:color w:val="C2184B"/>
                <w:sz w:val="22"/>
              </w:rPr>
              <w:t>产业合作机构</w:t>
            </w:r>
          </w:p>
        </w:tc>
        <w:tc>
          <w:tcPr>
            <w:tcW w:type="dxa" w:w="6917"/>
            <w:tcBorders>
              <w:top w:val="single" w:sz="4" w:color="D9D7E4"/>
              <w:bottom w:val="single" w:sz="4" w:color="D9D7E4"/>
            </w:tcBorders>
            <w:shd w:val="clear" w:color="auto" w:fill="F6F5FA"/>
            <w:vAlign w:val="center"/>
          </w:tcPr>
          <w:p>
            <w:pPr>
              <w:spacing w:before="60" w:after="60" w:line="384" w:lineRule="auto"/>
            </w:pPr>
            <w:r>
              <w:rPr>
                <w:rFonts w:ascii="思源黑体 CN" w:hAnsi="思源黑体 CN" w:eastAsia="思源黑体 CN"/>
                <w:b w:val="0"/>
                <w:i w:val="0"/>
                <w:color w:val="2A2A36"/>
                <w:sz w:val="21"/>
              </w:rPr>
              <w:t>中国百货协会、中国动漫集团、上海交大设计学院、闵行科协、森马集团、骏耀科技</w:t>
            </w:r>
          </w:p>
        </w:tc>
      </w:tr>
      <w:tr>
        <w:tc>
          <w:tcPr>
            <w:tcW w:type="dxa" w:w="2041"/>
            <w:tcBorders>
              <w:top w:val="single" w:sz="4" w:color="D9D7E4"/>
              <w:bottom w:val="single" w:sz="4" w:color="D9D7E4"/>
            </w:tcBorders>
            <w:shd w:val="clear" w:color="auto" w:fill="FFFFFF"/>
            <w:vAlign w:val="center"/>
          </w:tcPr>
          <w:p>
            <w:pPr>
              <w:spacing w:before="60" w:after="60"/>
            </w:pPr>
            <w:r>
              <w:rPr>
                <w:rFonts w:ascii="思源黑体 CN" w:hAnsi="思源黑体 CN" w:eastAsia="思源黑体 CN"/>
                <w:b/>
                <w:i w:val="0"/>
                <w:color w:val="C2184B"/>
                <w:sz w:val="22"/>
              </w:rPr>
              <w:t>周边产业生态</w:t>
            </w:r>
          </w:p>
        </w:tc>
        <w:tc>
          <w:tcPr>
            <w:tcW w:type="dxa" w:w="6917"/>
            <w:tcBorders>
              <w:top w:val="single" w:sz="4" w:color="D9D7E4"/>
              <w:bottom w:val="single" w:sz="4" w:color="D9D7E4"/>
            </w:tcBorders>
            <w:shd w:val="clear" w:color="auto" w:fill="FFFFFF"/>
            <w:vAlign w:val="center"/>
          </w:tcPr>
          <w:p>
            <w:pPr>
              <w:spacing w:before="60" w:after="60" w:line="384" w:lineRule="auto"/>
            </w:pPr>
            <w:r>
              <w:rPr>
                <w:rFonts w:ascii="思源黑体 CN" w:hAnsi="思源黑体 CN" w:eastAsia="思源黑体 CN"/>
                <w:b w:val="0"/>
                <w:i w:val="0"/>
                <w:color w:val="2A2A36"/>
                <w:sz w:val="21"/>
              </w:rPr>
              <w:t>森马产业、衣恋、普洛斯、雅诗兰黛、保利、中建产研等</w:t>
            </w:r>
          </w:p>
        </w:tc>
      </w:tr>
    </w:tbl>
    <w:p>
      <w:pPr>
        <w:spacing w:before="480" w:after="80"/>
      </w:pPr>
      <w:r>
        <w:rPr>
          <w:rFonts w:ascii="Inter" w:hAnsi="Inter" w:eastAsia="Inter"/>
          <w:b/>
          <w:i w:val="0"/>
          <w:color w:val="C2184B"/>
          <w:sz w:val="44"/>
        </w:rPr>
        <w:t xml:space="preserve">六  </w:t>
      </w:r>
      <w:r>
        <w:rPr>
          <w:rFonts w:ascii="思源黑体 CN" w:hAnsi="思源黑体 CN" w:eastAsia="思源黑体 CN"/>
          <w:b/>
          <w:i w:val="0"/>
          <w:color w:val="1A1A24"/>
          <w:sz w:val="40"/>
        </w:rPr>
        <w:t>项目价值评估与机会分析</w:t>
      </w:r>
    </w:p>
    <w:p>
      <w:pPr>
        <w:spacing w:after="160"/>
      </w:pPr>
      <w:r>
        <w:rPr>
          <w:rFonts w:ascii="Inter" w:hAnsi="Inter" w:eastAsia="Inter"/>
          <w:b w:val="0"/>
          <w:i w:val="0"/>
          <w:color w:val="808399"/>
          <w:sz w:val="20"/>
        </w:rPr>
        <w:t>Chapter 6 · Value Assessment</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6.1  项目核心价值六维评估</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战略卡位价值：</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南部科创走廊 + 大零号湾 + 长三角融合三位一体的战略身份，决定项目天然具有"政策 + 资金 + 人才 + 流量"四重资源加持的可能。</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交通流量价值：</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15 号线元江路 TOD 日均 5–7 万人次的基础客流，叠加 24 万居住 + 12 万办公人口的近域消费基数。</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物业规模价值：</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22 万㎡ 总建筑、5.2 万㎡ 商业、1,500+ 车位的体量，足以承载多业态、多品牌、多 IP 并存。</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产业牌照价值：</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中百协与中国动漫集团双牌照的稀缺性，是项目长期具备行业话语权的核心资产。</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技术赋能价值：</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AI 设计 + AI 打样 + 智能仓储 + 共享直播的全链路 AI 基础设施，是潮玩中小企业最稀缺的能力。</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运营内容价值：</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集市 + 首发 + 大赛构成的"内容飞轮"，为项目持续提供新闻、社交媒体话题、客流脉冲。</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6.2  机会窗口</w:t>
      </w:r>
    </w:p>
    <w:p>
      <w:pPr>
        <w:spacing w:before="80" w:after="80" w:line="444" w:lineRule="auto"/>
        <w:ind w:firstLine="420"/>
        <w:jc w:val="both"/>
      </w:pPr>
      <w:r>
        <w:rPr>
          <w:rFonts w:ascii="思源黑体 CN" w:hAnsi="思源黑体 CN" w:eastAsia="思源黑体 CN"/>
          <w:b w:val="0"/>
          <w:i w:val="0"/>
          <w:color w:val="2A2A36"/>
          <w:sz w:val="22"/>
        </w:rPr>
        <w:t>从赛道、政策、城市三个维度审视，项目所处的时间窗口具备如下机会：</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赛道机会：</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中国潮玩市场仍处于"内容侧出海 + 国潮回流"的双向放大期，原创 IP 与 AI 工具尚有较大渗透空间；</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政策机会：</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上海"南北转型"+"科技时尚特色小镇"双重政策窗口；</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城市机会：</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15 号线全线贯通带来的元江路片区价值重估；</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内容机会：</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二次元 Livehouse、潮玩艺术展、AI 共创等新内容空间需求强劲。</w:t>
      </w:r>
    </w:p>
    <w:p>
      <w:pPr>
        <w:spacing w:before="480" w:after="80"/>
      </w:pPr>
      <w:r>
        <w:rPr>
          <w:rFonts w:ascii="Inter" w:hAnsi="Inter" w:eastAsia="Inter"/>
          <w:b/>
          <w:i w:val="0"/>
          <w:color w:val="C2184B"/>
          <w:sz w:val="44"/>
        </w:rPr>
        <w:t xml:space="preserve">七  </w:t>
      </w:r>
      <w:r>
        <w:rPr>
          <w:rFonts w:ascii="思源黑体 CN" w:hAnsi="思源黑体 CN" w:eastAsia="思源黑体 CN"/>
          <w:b/>
          <w:i w:val="0"/>
          <w:color w:val="1A1A24"/>
          <w:sz w:val="40"/>
        </w:rPr>
        <w:t>风险提示与建议</w:t>
      </w:r>
    </w:p>
    <w:p>
      <w:pPr>
        <w:spacing w:after="160"/>
      </w:pPr>
      <w:r>
        <w:rPr>
          <w:rFonts w:ascii="Inter" w:hAnsi="Inter" w:eastAsia="Inter"/>
          <w:b w:val="0"/>
          <w:i w:val="0"/>
          <w:color w:val="808399"/>
          <w:sz w:val="20"/>
        </w:rPr>
        <w:t>Chapter 7 · Risks &amp; Recommendations</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7.1  风险提示</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品牌招商风险：</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潮玩头部品牌相对集中，意向品牌（秋子 ACG、绮丽少女、超级悦沢、樱漫等）签约转化与开业节奏需提前管控，避免业态空窗。</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内容运营风险：</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集市 / 首发 / 大赛对内容策划与组织能力要求高，若缺少专业团队，活动易陷入"开业期热闹、长尾期冷清"的常见困境。</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客群匹配风险：</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吴泾片区基础客群以居住与办公为主，与 Z 世代潮玩主力客群（高校 / 跨区潮流人群）存在一定错位，需依赖 15 号线 + 大学城联动持续引流。</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产业孵化风险：</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60% 的中小型企业 / 服务机构存活率与产值贡献波动较大，需要明确的退出与汰换机制以及阶段性产业基金支持。</w:t>
      </w:r>
    </w:p>
    <w:p>
      <w:pPr>
        <w:spacing w:before="320" w:after="80"/>
      </w:pPr>
      <w:r>
        <w:rPr>
          <w:rFonts w:ascii="思源黑体 CN" w:hAnsi="思源黑体 CN" w:eastAsia="思源黑体 CN"/>
          <w:b/>
          <w:i w:val="0"/>
          <w:color w:val="C2184B"/>
          <w:sz w:val="26"/>
        </w:rPr>
        <w:t xml:space="preserve">◆ </w:t>
      </w:r>
      <w:r>
        <w:rPr>
          <w:rFonts w:ascii="思源黑体 CN" w:hAnsi="思源黑体 CN" w:eastAsia="思源黑体 CN"/>
          <w:b/>
          <w:i w:val="0"/>
          <w:color w:val="1A1A24"/>
          <w:sz w:val="28"/>
        </w:rPr>
        <w:t>7.2  落地建议</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锚定主力 IP：</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尽快锁定 2–3 个具有全国知名度的潮玩 / 二次元主力品牌作为首店招商主轴，为后续中小品牌跟投建立信号；</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建立产业基金：</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依托双牌照与森马背景，联合区级 / 街道引导基金，设立"潮玩 + AI"种子轮基金，绑定入驻企业；</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强化高校联动：</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与上海交大设计学院、闵行科协建立稳定的人才输送与赛事合作机制，形成"学校—竞赛—孵化器—产品"的人才闭环；</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内容日历化：</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将三大旗舰活动 + 月度小型活动形成年度内容日历，提前 6 个月对外释放，构筑"潮玩界年度盛事"的认知；</w:t>
      </w:r>
    </w:p>
    <w:p>
      <w:pPr>
        <w:spacing w:before="40" w:after="40" w:line="408" w:lineRule="auto"/>
        <w:ind w:left="340"/>
      </w:pPr>
      <w:r>
        <w:rPr>
          <w:rFonts w:ascii="思源黑体 CN" w:hAnsi="思源黑体 CN" w:eastAsia="思源黑体 CN"/>
          <w:b/>
          <w:i w:val="0"/>
          <w:color w:val="C2184B"/>
          <w:sz w:val="22"/>
        </w:rPr>
        <w:t xml:space="preserve">· </w:t>
      </w:r>
      <w:r>
        <w:rPr>
          <w:rFonts w:ascii="思源黑体 CN" w:hAnsi="思源黑体 CN" w:eastAsia="思源黑体 CN"/>
          <w:b/>
          <w:i w:val="0"/>
          <w:color w:val="1A1A24"/>
          <w:sz w:val="22"/>
        </w:rPr>
        <w:t>数据资产化：</w:t>
      </w:r>
      <w:r>
        <w:rPr>
          <w:rFonts w:ascii="思源黑体 CN" w:hAnsi="思源黑体 CN" w:eastAsia="思源黑体 CN"/>
          <w:b w:val="0"/>
          <w:i w:val="0"/>
          <w:color w:val="2A2A36"/>
          <w:sz w:val="22"/>
        </w:rPr>
        <w:t xml:space="preserve">  </w:t>
      </w:r>
      <w:r>
        <w:rPr>
          <w:rFonts w:ascii="思源黑体 CN" w:hAnsi="思源黑体 CN" w:eastAsia="思源黑体 CN"/>
          <w:b w:val="0"/>
          <w:i w:val="0"/>
          <w:color w:val="2A2A36"/>
          <w:sz w:val="22"/>
        </w:rPr>
        <w:t>把选品中心 / 直播中心 / 大赛报名沉淀的设计 / 销售 / 客流数据统一打通，形成项目专属的"潮玩产业数据底座"。</w:t>
      </w:r>
    </w:p>
    <w:p>
      <w:pPr>
        <w:spacing w:before="480" w:after="80"/>
      </w:pPr>
      <w:r>
        <w:rPr>
          <w:rFonts w:ascii="Inter" w:hAnsi="Inter" w:eastAsia="Inter"/>
          <w:b/>
          <w:i w:val="0"/>
          <w:color w:val="C2184B"/>
          <w:sz w:val="44"/>
        </w:rPr>
        <w:t xml:space="preserve">八  </w:t>
      </w:r>
      <w:r>
        <w:rPr>
          <w:rFonts w:ascii="思源黑体 CN" w:hAnsi="思源黑体 CN" w:eastAsia="思源黑体 CN"/>
          <w:b/>
          <w:i w:val="0"/>
          <w:color w:val="1A1A24"/>
          <w:sz w:val="40"/>
        </w:rPr>
        <w:t>结语</w:t>
      </w:r>
    </w:p>
    <w:p>
      <w:pPr>
        <w:spacing w:after="160"/>
      </w:pPr>
      <w:r>
        <w:rPr>
          <w:rFonts w:ascii="Inter" w:hAnsi="Inter" w:eastAsia="Inter"/>
          <w:b w:val="0"/>
          <w:i w:val="0"/>
          <w:color w:val="808399"/>
          <w:sz w:val="20"/>
        </w:rPr>
        <w:t>Chapter 8 · Closing Remarks</w:t>
      </w:r>
    </w:p>
    <w:p>
      <w:pPr>
        <w:spacing w:before="80" w:after="80" w:line="468" w:lineRule="auto"/>
        <w:ind w:firstLine="420"/>
        <w:jc w:val="both"/>
      </w:pPr>
      <w:r>
        <w:rPr>
          <w:rFonts w:ascii="思源黑体 CN" w:hAnsi="思源黑体 CN" w:eastAsia="思源黑体 CN"/>
          <w:b w:val="0"/>
          <w:i w:val="0"/>
          <w:color w:val="2A2A36"/>
          <w:sz w:val="22"/>
        </w:rPr>
        <w:t>森马（上海）国际运营中心，本质上是一次面向 Z·世代的"产业 + 商业 + 文化"复合实验。从战略卡位到金字塔产业生态，从垂直业态到内容飞轮，项目展现出超越传统综合体的系统性思考与平台化野心。</w:t>
      </w:r>
    </w:p>
    <w:p>
      <w:pPr>
        <w:spacing w:before="80" w:after="80" w:line="468" w:lineRule="auto"/>
        <w:ind w:firstLine="420"/>
        <w:jc w:val="both"/>
      </w:pPr>
      <w:r>
        <w:rPr>
          <w:rFonts w:ascii="思源黑体 CN" w:hAnsi="思源黑体 CN" w:eastAsia="思源黑体 CN"/>
          <w:b w:val="0"/>
          <w:i w:val="0"/>
          <w:color w:val="2A2A36"/>
          <w:sz w:val="22"/>
        </w:rPr>
        <w:t>如果说传统商业综合体提供的是"场"，森马国际运营中心试图提供的，则是一个让 IP、AI、艺术、品牌、青年、生活在同一场域共生的"潮玩元宇宙"。若三大旗舰活动如期落地、双牌照充分激活、AI 配套全链路打通，项目将不仅成为闵行南部的城市新名片，更有望成为长三角潮玩产业的"枢纽级"标的。</w:t>
      </w:r>
    </w:p>
    <w:p>
      <w:pPr>
        <w:pBdr>
          <w:bottom w:val="single" w:sz="8" w:space="1" w:color="C2184B"/>
        </w:pBdr>
        <w:spacing w:before="120" w:after="120"/>
      </w:pPr>
    </w:p>
    <w:p>
      <w:pPr>
        <w:spacing w:before="160" w:after="80" w:line="384" w:lineRule="auto"/>
        <w:jc w:val="center"/>
      </w:pPr>
      <w:r>
        <w:rPr>
          <w:rFonts w:ascii="Inter" w:hAnsi="Inter" w:eastAsia="Inter"/>
          <w:b w:val="0"/>
          <w:i w:val="0"/>
          <w:color w:val="808399"/>
          <w:sz w:val="22"/>
        </w:rPr>
        <w:t>— END —</w:t>
      </w:r>
    </w:p>
    <w:p>
      <w:pPr>
        <w:spacing w:before="80" w:after="80" w:line="384" w:lineRule="auto"/>
        <w:jc w:val="center"/>
      </w:pPr>
      <w:r>
        <w:rPr>
          <w:rFonts w:ascii="思源黑体 CN" w:hAnsi="思源黑体 CN" w:eastAsia="思源黑体 CN"/>
          <w:b w:val="0"/>
          <w:i w:val="0"/>
          <w:color w:val="808399"/>
          <w:sz w:val="20"/>
        </w:rPr>
        <w:t>森马（上海）国际运营中心 · Semir Group's Global Headquarter</w:t>
      </w:r>
    </w:p>
    <w:p>
      <w:pPr>
        <w:spacing w:before="80" w:after="80" w:line="384" w:lineRule="auto"/>
        <w:jc w:val="center"/>
      </w:pPr>
      <w:r>
        <w:rPr>
          <w:rFonts w:ascii="思源黑体 CN" w:hAnsi="思源黑体 CN" w:eastAsia="思源黑体 CN"/>
          <w:b w:val="0"/>
          <w:i/>
          <w:color w:val="808399"/>
          <w:sz w:val="18"/>
        </w:rPr>
        <w:t>本文档基于公开提案信息整理与解读，仅供内部研究与合作沟通使用。</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思源黑体 CN" w:hAnsi="思源黑体 CN" w:eastAsia="思源黑体 C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