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292"/>
      </w:tblGrid>
      <w:tr>
        <w:tc>
          <w:tcPr>
            <w:tcW w:type="dxa" w:w="9292"/>
            <w:shd w:val="clear" w:color="auto" w:fill="0F2A4A"/>
            <w:tcMar>
              <w:top w:w="240" w:type="dxa"/>
              <w:bottom w:w="240" w:type="dxa"/>
              <w:start w:w="160" w:type="dxa"/>
              <w:end w:w="160" w:type="dxa"/>
              <w:left w:w="160" w:type="dxa"/>
              <w:right w:w="160" w:type="dxa"/>
            </w:tcMar>
          </w:tcPr>
          <w:p>
            <w:pPr>
              <w:spacing w:after="120" w:before="120"/>
              <w:jc w:val="center"/>
            </w:pPr>
            <w:r>
              <w:rPr>
                <w:rFonts w:ascii="微软雅黑" w:hAnsi="微软雅黑" w:eastAsia="微软雅黑"/>
                <w:b/>
                <w:color w:val="FFFFFF"/>
                <w:sz w:val="48"/>
              </w:rPr>
              <w:t>广州黄埔区九佛TOD全球自贸区</w:t>
            </w:r>
          </w:p>
          <w:p>
            <w:pPr>
              <w:spacing w:after="120" w:before="120"/>
              <w:jc w:val="center"/>
            </w:pPr>
            <w:r>
              <w:rPr>
                <w:rFonts w:ascii="微软雅黑" w:hAnsi="微软雅黑" w:eastAsia="微软雅黑"/>
                <w:b/>
                <w:color w:val="E8C977"/>
                <w:sz w:val="20"/>
              </w:rPr>
              <w:t>GLOBAL FREE TRADE ZONE · HUANGPU JIUFO TOD</w:t>
            </w:r>
          </w:p>
        </w:tc>
      </w:tr>
    </w:tbl>
    <w:p>
      <w:pPr>
        <w:spacing w:after="40" w:before="0" w:line="360" w:lineRule="auto"/>
      </w:pPr>
      <w:r>
        <w:rPr>
          <w:rFonts w:ascii="微软雅黑" w:hAnsi="微软雅黑" w:eastAsia="微软雅黑"/>
          <w:b w:val="0"/>
          <w:sz w:val="23"/>
        </w:rPr>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292"/>
      </w:tblGrid>
      <w:tr>
        <w:tc>
          <w:tcPr>
            <w:tcW w:type="dxa" w:w="9292"/>
            <w:shd w:val="clear" w:color="auto" w:fill="F6EEDA"/>
            <w:tcMar>
              <w:top w:w="240" w:type="dxa"/>
              <w:bottom w:w="240" w:type="dxa"/>
              <w:start w:w="160" w:type="dxa"/>
              <w:end w:w="160" w:type="dxa"/>
              <w:left w:w="160" w:type="dxa"/>
              <w:right w:w="160" w:type="dxa"/>
            </w:tcMar>
          </w:tcPr>
          <w:p>
            <w:pPr>
              <w:spacing w:after="120" w:before="120"/>
              <w:jc w:val="center"/>
            </w:pPr>
            <w:r>
              <w:rPr>
                <w:rFonts w:ascii="微软雅黑" w:hAnsi="微软雅黑" w:eastAsia="微软雅黑"/>
                <w:b/>
                <w:color w:val="0F2A4A"/>
                <w:sz w:val="48"/>
              </w:rPr>
              <w:t>策划服务建议书（报价版）</w:t>
            </w:r>
          </w:p>
          <w:p>
            <w:pPr>
              <w:spacing w:after="120" w:before="120"/>
              <w:jc w:val="center"/>
            </w:pPr>
            <w:r>
              <w:rPr>
                <w:rFonts w:ascii="微软雅黑" w:hAnsi="微软雅黑" w:eastAsia="微软雅黑"/>
                <w:b w:val="0"/>
                <w:color w:val="595959"/>
                <w:sz w:val="24"/>
              </w:rPr>
              <w:t>（策划服务框架 · 分工与报价）</w:t>
            </w:r>
          </w:p>
        </w:tc>
      </w:tr>
    </w:tbl>
    <w:p/>
    <w:p/>
    <w:p/>
    <w:p/>
    <w:p/>
    <w:p/>
    <w:p>
      <w:pPr>
        <w:spacing w:after="120" w:before="0" w:line="360" w:lineRule="auto"/>
        <w:jc w:val="center"/>
      </w:pPr>
      <w:r>
        <w:rPr>
          <w:rFonts w:ascii="微软雅黑" w:hAnsi="微软雅黑" w:eastAsia="微软雅黑"/>
          <w:b/>
          <w:sz w:val="26"/>
        </w:rPr>
        <w:t>提供方:复旦大学住房政策研究中心、上海市杨浦区科技企业联合会</w:t>
      </w:r>
    </w:p>
    <w:p>
      <w:pPr>
        <w:spacing w:after="120" w:before="0" w:line="360" w:lineRule="auto"/>
        <w:jc w:val="center"/>
      </w:pPr>
      <w:r>
        <w:rPr>
          <w:rFonts w:ascii="微软雅黑" w:hAnsi="微软雅黑" w:eastAsia="微软雅黑"/>
          <w:b w:val="0"/>
          <w:sz w:val="24"/>
        </w:rPr>
        <w:t>第四部分承接方:内里集</w:t>
      </w:r>
    </w:p>
    <w:p>
      <w:pPr>
        <w:spacing w:after="120" w:before="0" w:line="360" w:lineRule="auto"/>
        <w:jc w:val="center"/>
      </w:pPr>
      <w:r>
        <w:rPr>
          <w:rFonts w:ascii="微软雅黑" w:hAnsi="微软雅黑" w:eastAsia="微软雅黑"/>
          <w:b w:val="0"/>
          <w:sz w:val="24"/>
        </w:rPr>
        <w:t>提交对象:广州黄埔区九佛TOD全球自贸区项目方（委托方）</w:t>
      </w:r>
    </w:p>
    <w:p>
      <w:pPr>
        <w:spacing w:after="120" w:before="0" w:line="360" w:lineRule="auto"/>
        <w:jc w:val="center"/>
      </w:pPr>
      <w:r>
        <w:rPr>
          <w:rFonts w:ascii="微软雅黑" w:hAnsi="微软雅黑" w:eastAsia="微软雅黑"/>
          <w:b w:val="0"/>
          <w:sz w:val="24"/>
        </w:rPr>
        <w:t>2026年7月</w:t>
      </w:r>
    </w:p>
    <w:p>
      <w:r>
        <w:br w:type="page"/>
      </w:r>
    </w:p>
    <w:p>
      <w:pPr>
        <w:spacing w:before="320" w:after="160"/>
        <w:shd w:val="clear" w:color="auto" w:fill="C79A3B"/>
        <w:pBdr>
          <w:bottom w:val="single" w:sz="14" w:space="3" w:color="C79A3B"/>
        </w:pBdr>
      </w:pPr>
      <w:r>
        <w:rPr>
          <w:rFonts w:ascii="微软雅黑" w:hAnsi="微软雅黑" w:eastAsia="微软雅黑"/>
          <w:b/>
          <w:color w:val="FFFFFF"/>
          <w:sz w:val="30"/>
        </w:rPr>
        <w:t xml:space="preserve">  一  </w:t>
      </w:r>
      <w:r>
        <w:rPr>
          <w:rFonts w:ascii="微软雅黑" w:hAnsi="微软雅黑" w:eastAsia="微软雅黑"/>
          <w:b/>
          <w:color w:val="0F2A4A"/>
          <w:sz w:val="32"/>
        </w:rPr>
        <w:t xml:space="preserve">  项目与服务框架概述</w:t>
      </w:r>
    </w:p>
    <w:p>
      <w:pPr>
        <w:spacing w:after="120" w:before="0" w:line="360" w:lineRule="auto"/>
        <w:ind w:firstLine="480"/>
      </w:pPr>
      <w:r>
        <w:rPr>
          <w:rFonts w:ascii="微软雅黑" w:hAnsi="微软雅黑" w:eastAsia="微软雅黑"/>
          <w:b w:val="0"/>
          <w:sz w:val="23"/>
        </w:rPr>
        <w:t>本框架为双方线上沟通后确定的策划服务大致框架。整体策划服务分为四个部分:第一至第三部分(市场与内部深度洞察、总体战略与故事线构建、产业定位与招商建议)由我方负责;第四部分(场景营造与空间引导)由内里集负责,我方不承担该部分工作。本报价仅针对我方负责的第一至第三部分,报价合计16万元(含税参考价)。</w:t>
      </w:r>
    </w:p>
    <w:p>
      <w:pPr>
        <w:spacing w:before="200" w:after="120"/>
      </w:pPr>
      <w:r>
        <w:rPr>
          <w:rFonts w:ascii="微软雅黑" w:hAnsi="微软雅黑" w:eastAsia="微软雅黑"/>
          <w:b/>
          <w:color w:val="1F4E79"/>
          <w:sz w:val="26"/>
        </w:rPr>
        <w:t>分工说明</w:t>
      </w:r>
    </w:p>
    <w:p>
      <w:pPr>
        <w:spacing w:after="120" w:before="0" w:line="360" w:lineRule="auto"/>
        <w:ind w:firstLine="480"/>
      </w:pPr>
      <w:r>
        <w:rPr>
          <w:rFonts w:ascii="微软雅黑" w:hAnsi="微软雅黑" w:eastAsia="微软雅黑"/>
          <w:b w:val="0"/>
          <w:sz w:val="23"/>
        </w:rPr>
        <w:t>第一至第三部分:由我方（复旦大学住房政策研究中心、上海市杨浦区科技企业联合会）负责。</w:t>
      </w:r>
    </w:p>
    <w:p>
      <w:pPr>
        <w:spacing w:after="120" w:before="0" w:line="360" w:lineRule="auto"/>
        <w:ind w:firstLine="480"/>
      </w:pPr>
      <w:r>
        <w:rPr>
          <w:rFonts w:ascii="微软雅黑" w:hAnsi="微软雅黑" w:eastAsia="微软雅黑"/>
          <w:b w:val="0"/>
          <w:sz w:val="23"/>
        </w:rPr>
        <w:t>第四部分(场景营造与空间引导):由内里集负责,我方不承担该部分工作。</w:t>
      </w:r>
    </w:p>
    <w:p>
      <w:pPr>
        <w:spacing w:before="320" w:after="160"/>
        <w:shd w:val="clear" w:color="auto" w:fill="C79A3B"/>
        <w:pBdr>
          <w:bottom w:val="single" w:sz="14" w:space="3" w:color="C79A3B"/>
        </w:pBdr>
      </w:pPr>
      <w:r>
        <w:rPr>
          <w:rFonts w:ascii="微软雅黑" w:hAnsi="微软雅黑" w:eastAsia="微软雅黑"/>
          <w:b/>
          <w:color w:val="FFFFFF"/>
          <w:sz w:val="30"/>
        </w:rPr>
        <w:t xml:space="preserve">  二  </w:t>
      </w:r>
      <w:r>
        <w:rPr>
          <w:rFonts w:ascii="微软雅黑" w:hAnsi="微软雅黑" w:eastAsia="微软雅黑"/>
          <w:b/>
          <w:color w:val="0F2A4A"/>
          <w:sz w:val="32"/>
        </w:rPr>
        <w:t xml:space="preserve">  服务内容与工作分解</w:t>
      </w:r>
    </w:p>
    <w:p>
      <w:pPr>
        <w:spacing w:after="60" w:before="160" w:line="360" w:lineRule="auto"/>
      </w:pPr>
      <w:r>
        <w:rPr>
          <w:rFonts w:ascii="微软雅黑" w:hAnsi="微软雅黑" w:eastAsia="微软雅黑"/>
          <w:b/>
          <w:color w:val="1F4E79"/>
          <w:sz w:val="25"/>
        </w:rPr>
        <w:t>（一）市场与内部深度洞察　【负责方:我方】</w:t>
      </w:r>
    </w:p>
    <w:p>
      <w:pPr>
        <w:spacing w:after="80" w:before="0" w:line="360" w:lineRule="auto"/>
        <w:ind w:firstLine="480"/>
      </w:pPr>
      <w:r>
        <w:rPr>
          <w:rFonts w:ascii="微软雅黑" w:hAnsi="微软雅黑" w:eastAsia="微软雅黑"/>
          <w:b w:val="0"/>
          <w:sz w:val="22"/>
        </w:rPr>
        <w:t>通过基础数据与外部市场研究、政策与合规研判、内部资源与趋势分析,为项目提供扎实的决策依据。</w:t>
      </w:r>
    </w:p>
    <w:p>
      <w:pPr>
        <w:pStyle w:val="ListBullet"/>
        <w:spacing w:after="80" w:line="336" w:lineRule="auto"/>
      </w:pPr>
      <w:r>
        <w:rPr>
          <w:rFonts w:ascii="微软雅黑" w:hAnsi="微软雅黑" w:eastAsia="微软雅黑"/>
          <w:sz w:val="22"/>
        </w:rPr>
        <w:t>基础数据研究与外部市场研究</w:t>
      </w:r>
    </w:p>
    <w:p>
      <w:pPr>
        <w:pStyle w:val="ListBullet"/>
        <w:spacing w:after="80" w:line="336" w:lineRule="auto"/>
      </w:pPr>
      <w:r>
        <w:rPr>
          <w:rFonts w:ascii="微软雅黑" w:hAnsi="微软雅黑" w:eastAsia="微软雅黑"/>
          <w:sz w:val="22"/>
        </w:rPr>
        <w:t>政策研究与合规路径</w:t>
      </w:r>
    </w:p>
    <w:p>
      <w:pPr>
        <w:pStyle w:val="ListBullet"/>
        <w:spacing w:after="80" w:line="336" w:lineRule="auto"/>
      </w:pPr>
      <w:r>
        <w:rPr>
          <w:rFonts w:ascii="微软雅黑" w:hAnsi="微软雅黑" w:eastAsia="微软雅黑"/>
          <w:sz w:val="22"/>
        </w:rPr>
        <w:t>内部资源研判</w:t>
      </w:r>
    </w:p>
    <w:p>
      <w:pPr>
        <w:pStyle w:val="ListBullet"/>
        <w:spacing w:after="80" w:line="336" w:lineRule="auto"/>
      </w:pPr>
      <w:r>
        <w:rPr>
          <w:rFonts w:ascii="微软雅黑" w:hAnsi="微软雅黑" w:eastAsia="微软雅黑"/>
          <w:sz w:val="22"/>
        </w:rPr>
        <w:t>行业趋势与本地趋势</w:t>
      </w:r>
    </w:p>
    <w:p>
      <w:pPr>
        <w:spacing w:after="60" w:before="160" w:line="360" w:lineRule="auto"/>
      </w:pPr>
      <w:r>
        <w:rPr>
          <w:rFonts w:ascii="微软雅黑" w:hAnsi="微软雅黑" w:eastAsia="微软雅黑"/>
          <w:b/>
          <w:color w:val="1F4E79"/>
          <w:sz w:val="25"/>
        </w:rPr>
        <w:t>（二）总体战略与故事线构建　【负责方:我方】</w:t>
      </w:r>
    </w:p>
    <w:p>
      <w:pPr>
        <w:spacing w:after="80" w:before="0" w:line="360" w:lineRule="auto"/>
        <w:ind w:firstLine="480"/>
      </w:pPr>
      <w:r>
        <w:rPr>
          <w:rFonts w:ascii="微软雅黑" w:hAnsi="微软雅黑" w:eastAsia="微软雅黑"/>
          <w:b w:val="0"/>
          <w:sz w:val="22"/>
        </w:rPr>
        <w:t>在洞察基础上推演场地特性、确立总体发展目标,构建发展策略体系与产品故事线。</w:t>
      </w:r>
    </w:p>
    <w:p>
      <w:pPr>
        <w:pStyle w:val="ListBullet"/>
        <w:spacing w:after="80" w:line="336" w:lineRule="auto"/>
      </w:pPr>
      <w:r>
        <w:rPr>
          <w:rFonts w:ascii="微软雅黑" w:hAnsi="微软雅黑" w:eastAsia="微软雅黑"/>
          <w:sz w:val="22"/>
        </w:rPr>
        <w:t>场地特性推演与总体发展目标确立</w:t>
      </w:r>
    </w:p>
    <w:p>
      <w:pPr>
        <w:pStyle w:val="ListBullet"/>
        <w:spacing w:after="80" w:line="336" w:lineRule="auto"/>
      </w:pPr>
      <w:r>
        <w:rPr>
          <w:rFonts w:ascii="微软雅黑" w:hAnsi="微软雅黑" w:eastAsia="微软雅黑"/>
          <w:sz w:val="22"/>
        </w:rPr>
        <w:t>发展策略体系:总体策略、分期开发、差异化竞争</w:t>
      </w:r>
    </w:p>
    <w:p>
      <w:pPr>
        <w:pStyle w:val="ListBullet"/>
        <w:spacing w:after="80" w:line="336" w:lineRule="auto"/>
      </w:pPr>
      <w:r>
        <w:rPr>
          <w:rFonts w:ascii="微软雅黑" w:hAnsi="微软雅黑" w:eastAsia="微软雅黑"/>
          <w:sz w:val="22"/>
        </w:rPr>
        <w:t>节点与节奏梳理</w:t>
      </w:r>
    </w:p>
    <w:p>
      <w:pPr>
        <w:pStyle w:val="ListBullet"/>
        <w:spacing w:after="80" w:line="336" w:lineRule="auto"/>
      </w:pPr>
      <w:r>
        <w:rPr>
          <w:rFonts w:ascii="微软雅黑" w:hAnsi="微软雅黑" w:eastAsia="微软雅黑"/>
          <w:sz w:val="22"/>
        </w:rPr>
        <w:t>产品故事线及特殊策略制定</w:t>
      </w:r>
    </w:p>
    <w:p>
      <w:pPr>
        <w:spacing w:after="60" w:before="160" w:line="360" w:lineRule="auto"/>
      </w:pPr>
      <w:r>
        <w:rPr>
          <w:rFonts w:ascii="微软雅黑" w:hAnsi="微软雅黑" w:eastAsia="微软雅黑"/>
          <w:b/>
          <w:color w:val="1F4E79"/>
          <w:sz w:val="25"/>
        </w:rPr>
        <w:t>（三）产业定位与招商建议　【负责方:我方】</w:t>
      </w:r>
    </w:p>
    <w:p>
      <w:pPr>
        <w:spacing w:after="80" w:before="0" w:line="360" w:lineRule="auto"/>
        <w:ind w:firstLine="480"/>
      </w:pPr>
      <w:r>
        <w:rPr>
          <w:rFonts w:ascii="微软雅黑" w:hAnsi="微软雅黑" w:eastAsia="微软雅黑"/>
          <w:b w:val="0"/>
          <w:sz w:val="22"/>
        </w:rPr>
        <w:t>明确目标客群与竞争定位,制定产业策略与功能组合,给出产品定位、运营与招商实施建议。</w:t>
      </w:r>
    </w:p>
    <w:p>
      <w:pPr>
        <w:pStyle w:val="ListBullet"/>
        <w:spacing w:after="80" w:line="336" w:lineRule="auto"/>
      </w:pPr>
      <w:r>
        <w:rPr>
          <w:rFonts w:ascii="微软雅黑" w:hAnsi="微软雅黑" w:eastAsia="微软雅黑"/>
          <w:sz w:val="22"/>
        </w:rPr>
        <w:t>目标客群与竞争对手定位</w:t>
      </w:r>
    </w:p>
    <w:p>
      <w:pPr>
        <w:pStyle w:val="ListBullet"/>
        <w:spacing w:after="80" w:line="336" w:lineRule="auto"/>
      </w:pPr>
      <w:r>
        <w:rPr>
          <w:rFonts w:ascii="微软雅黑" w:hAnsi="微软雅黑" w:eastAsia="微软雅黑"/>
          <w:sz w:val="22"/>
        </w:rPr>
        <w:t>产业策略及功能组合(文商旅产体卫教)</w:t>
      </w:r>
    </w:p>
    <w:p>
      <w:pPr>
        <w:pStyle w:val="ListBullet"/>
        <w:spacing w:after="80" w:line="336" w:lineRule="auto"/>
      </w:pPr>
      <w:r>
        <w:rPr>
          <w:rFonts w:ascii="微软雅黑" w:hAnsi="微软雅黑" w:eastAsia="微软雅黑"/>
          <w:sz w:val="22"/>
        </w:rPr>
        <w:t>产品定位与运营设计</w:t>
      </w:r>
    </w:p>
    <w:p>
      <w:pPr>
        <w:pStyle w:val="ListBullet"/>
        <w:spacing w:after="80" w:line="336" w:lineRule="auto"/>
      </w:pPr>
      <w:r>
        <w:rPr>
          <w:rFonts w:ascii="微软雅黑" w:hAnsi="微软雅黑" w:eastAsia="微软雅黑"/>
          <w:sz w:val="22"/>
        </w:rPr>
        <w:t>出海路径与线上线下联动</w:t>
      </w:r>
    </w:p>
    <w:p>
      <w:pPr>
        <w:pStyle w:val="ListBullet"/>
        <w:spacing w:after="80" w:line="336" w:lineRule="auto"/>
      </w:pPr>
      <w:r>
        <w:rPr>
          <w:rFonts w:ascii="微软雅黑" w:hAnsi="微软雅黑" w:eastAsia="微软雅黑"/>
          <w:sz w:val="22"/>
        </w:rPr>
        <w:t>品牌推广与实施方法</w:t>
      </w:r>
    </w:p>
    <w:p>
      <w:pPr>
        <w:spacing w:after="60" w:before="160" w:line="360" w:lineRule="auto"/>
      </w:pPr>
      <w:r>
        <w:rPr>
          <w:rFonts w:ascii="微软雅黑" w:hAnsi="微软雅黑" w:eastAsia="微软雅黑"/>
          <w:b/>
          <w:color w:val="1F4E79"/>
          <w:sz w:val="25"/>
        </w:rPr>
        <w:t>（四）场景营造与空间引导　【负责方:内里集（我方不负责）】</w:t>
      </w:r>
    </w:p>
    <w:p>
      <w:pPr>
        <w:spacing w:after="80" w:before="0" w:line="360" w:lineRule="auto"/>
        <w:ind w:firstLine="480"/>
      </w:pPr>
      <w:r>
        <w:rPr>
          <w:rFonts w:ascii="微软雅黑" w:hAnsi="微软雅黑" w:eastAsia="微软雅黑"/>
          <w:b w:val="0"/>
          <w:sz w:val="22"/>
        </w:rPr>
        <w:t>由内里集负责,聚焦场所身份、文化内涵与社交活力的营造(不在我方报价范围内)。</w:t>
      </w:r>
    </w:p>
    <w:p>
      <w:pPr>
        <w:pStyle w:val="ListBullet"/>
        <w:spacing w:after="80" w:line="336" w:lineRule="auto"/>
      </w:pPr>
      <w:r>
        <w:rPr>
          <w:rFonts w:ascii="微软雅黑" w:hAnsi="微软雅黑" w:eastAsia="微软雅黑"/>
          <w:sz w:val="22"/>
        </w:rPr>
        <w:t>识别度:打造独特的场所身份与记忆点</w:t>
      </w:r>
    </w:p>
    <w:p>
      <w:pPr>
        <w:pStyle w:val="ListBullet"/>
        <w:spacing w:after="80" w:line="336" w:lineRule="auto"/>
      </w:pPr>
      <w:r>
        <w:rPr>
          <w:rFonts w:ascii="微软雅黑" w:hAnsi="微软雅黑" w:eastAsia="微软雅黑"/>
          <w:sz w:val="22"/>
        </w:rPr>
        <w:t>灵感度:注入文化内涵与内容触发点</w:t>
      </w:r>
    </w:p>
    <w:p>
      <w:pPr>
        <w:pStyle w:val="ListBullet"/>
        <w:spacing w:after="80" w:line="336" w:lineRule="auto"/>
      </w:pPr>
      <w:r>
        <w:rPr>
          <w:rFonts w:ascii="微软雅黑" w:hAnsi="微软雅黑" w:eastAsia="微软雅黑"/>
          <w:sz w:val="22"/>
        </w:rPr>
        <w:t>活力度:营造社交氛围与人气体验</w:t>
      </w:r>
    </w:p>
    <w:p>
      <w:pPr>
        <w:spacing w:before="320" w:after="160"/>
        <w:shd w:val="clear" w:color="auto" w:fill="C79A3B"/>
        <w:pBdr>
          <w:bottom w:val="single" w:sz="14" w:space="3" w:color="C79A3B"/>
        </w:pBdr>
      </w:pPr>
      <w:r>
        <w:rPr>
          <w:rFonts w:ascii="微软雅黑" w:hAnsi="微软雅黑" w:eastAsia="微软雅黑"/>
          <w:b/>
          <w:color w:val="FFFFFF"/>
          <w:sz w:val="30"/>
        </w:rPr>
        <w:t xml:space="preserve">  三  </w:t>
      </w:r>
      <w:r>
        <w:rPr>
          <w:rFonts w:ascii="微软雅黑" w:hAnsi="微软雅黑" w:eastAsia="微软雅黑"/>
          <w:b/>
          <w:color w:val="0F2A4A"/>
          <w:sz w:val="32"/>
        </w:rPr>
        <w:t xml:space="preserve">  成果交付（我方负责:第一至第三部分）</w:t>
      </w:r>
    </w:p>
    <w:p>
      <w:pPr>
        <w:pStyle w:val="ListBullet"/>
        <w:spacing w:after="80" w:line="336" w:lineRule="auto"/>
      </w:pPr>
      <w:r>
        <w:rPr>
          <w:rFonts w:ascii="微软雅黑" w:hAnsi="微软雅黑" w:eastAsia="微软雅黑"/>
          <w:sz w:val="23"/>
        </w:rPr>
        <w:t>《市场与内部深度洞察报告》(基础数据、外部市场、政策合规、内部资源与趋势研判)</w:t>
      </w:r>
    </w:p>
    <w:p>
      <w:pPr>
        <w:pStyle w:val="ListBullet"/>
        <w:spacing w:after="80" w:line="336" w:lineRule="auto"/>
      </w:pPr>
      <w:r>
        <w:rPr>
          <w:rFonts w:ascii="微软雅黑" w:hAnsi="微软雅黑" w:eastAsia="微软雅黑"/>
          <w:sz w:val="23"/>
        </w:rPr>
        <w:t>《总体战略与故事线策划》(发展目标、策略体系、分期开发与产品故事线)</w:t>
      </w:r>
    </w:p>
    <w:p>
      <w:pPr>
        <w:pStyle w:val="ListBullet"/>
        <w:spacing w:after="80" w:line="336" w:lineRule="auto"/>
      </w:pPr>
      <w:r>
        <w:rPr>
          <w:rFonts w:ascii="微软雅黑" w:hAnsi="微软雅黑" w:eastAsia="微软雅黑"/>
          <w:sz w:val="23"/>
        </w:rPr>
        <w:t>《产业定位与招商建议书》(目标客群、产业与功能组合、运营与招商实施方法)</w:t>
      </w:r>
    </w:p>
    <w:p>
      <w:pPr>
        <w:pStyle w:val="ListBullet"/>
        <w:spacing w:after="80" w:line="336" w:lineRule="auto"/>
      </w:pPr>
      <w:r>
        <w:rPr>
          <w:rFonts w:ascii="微软雅黑" w:hAnsi="微软雅黑" w:eastAsia="微软雅黑"/>
          <w:sz w:val="23"/>
        </w:rPr>
        <w:t>阶段汇报PPT(随各部分成果同步提交)</w:t>
      </w:r>
    </w:p>
    <w:p>
      <w:pPr>
        <w:spacing w:after="120" w:before="80" w:line="360" w:lineRule="auto"/>
        <w:ind w:firstLine="480"/>
      </w:pPr>
      <w:r>
        <w:rPr>
          <w:rFonts w:ascii="微软雅黑" w:hAnsi="微软雅黑" w:eastAsia="微软雅黑"/>
          <w:b w:val="0"/>
          <w:color w:val="595959"/>
          <w:sz w:val="21"/>
        </w:rPr>
        <w:t>注:第四部分“场景营造与空间引导”的成果由内里集交付。</w:t>
      </w:r>
    </w:p>
    <w:p>
      <w:pPr>
        <w:spacing w:before="320" w:after="160"/>
        <w:shd w:val="clear" w:color="auto" w:fill="C79A3B"/>
        <w:pBdr>
          <w:bottom w:val="single" w:sz="14" w:space="3" w:color="C79A3B"/>
        </w:pBdr>
      </w:pPr>
      <w:r>
        <w:rPr>
          <w:rFonts w:ascii="微软雅黑" w:hAnsi="微软雅黑" w:eastAsia="微软雅黑"/>
          <w:b/>
          <w:color w:val="FFFFFF"/>
          <w:sz w:val="30"/>
        </w:rPr>
        <w:t xml:space="preserve">  四  </w:t>
      </w:r>
      <w:r>
        <w:rPr>
          <w:rFonts w:ascii="微软雅黑" w:hAnsi="微软雅黑" w:eastAsia="微软雅黑"/>
          <w:b/>
          <w:color w:val="0F2A4A"/>
          <w:sz w:val="32"/>
        </w:rPr>
        <w:t xml:space="preserve">  服务报价</w:t>
      </w:r>
    </w:p>
    <w:tbl>
      <w:tblPr>
        <w:tblStyle w:val="TableGrid"/>
        <w:tblW w:type="auto" w:w="0"/>
        <w:jc w:val="center"/>
        <w:tblLook w:firstColumn="1" w:firstRow="1" w:lastColumn="0" w:lastRow="0" w:noHBand="0" w:noVBand="1" w:val="04A0"/>
      </w:tblPr>
      <w:tblGrid>
        <w:gridCol w:w="3097"/>
        <w:gridCol w:w="3097"/>
        <w:gridCol w:w="3097"/>
      </w:tblGrid>
      <w:tr>
        <w:tc>
          <w:tcPr>
            <w:tcW w:type="dxa" w:w="4876"/>
            <w:shd w:val="clear" w:color="auto" w:fill="0F2A4A"/>
          </w:tcPr>
          <w:p>
            <w:pPr>
              <w:jc w:val="center"/>
            </w:pPr>
            <w:r>
              <w:rPr>
                <w:rFonts w:ascii="微软雅黑" w:hAnsi="微软雅黑" w:eastAsia="微软雅黑"/>
                <w:b/>
                <w:color w:val="FFFFFF"/>
                <w:sz w:val="22"/>
              </w:rPr>
              <w:t>服务部分</w:t>
            </w:r>
          </w:p>
        </w:tc>
        <w:tc>
          <w:tcPr>
            <w:tcW w:type="dxa" w:w="2608"/>
            <w:shd w:val="clear" w:color="auto" w:fill="0F2A4A"/>
          </w:tcPr>
          <w:p>
            <w:pPr>
              <w:jc w:val="center"/>
            </w:pPr>
            <w:r>
              <w:rPr>
                <w:rFonts w:ascii="微软雅黑" w:hAnsi="微软雅黑" w:eastAsia="微软雅黑"/>
                <w:b/>
                <w:color w:val="FFFFFF"/>
                <w:sz w:val="22"/>
              </w:rPr>
              <w:t>负责方</w:t>
            </w:r>
          </w:p>
        </w:tc>
        <w:tc>
          <w:tcPr>
            <w:tcW w:type="dxa" w:w="1474"/>
            <w:shd w:val="clear" w:color="auto" w:fill="0F2A4A"/>
          </w:tcPr>
          <w:p>
            <w:pPr>
              <w:jc w:val="center"/>
            </w:pPr>
            <w:r>
              <w:rPr>
                <w:rFonts w:ascii="微软雅黑" w:hAnsi="微软雅黑" w:eastAsia="微软雅黑"/>
                <w:b/>
                <w:color w:val="FFFFFF"/>
                <w:sz w:val="22"/>
              </w:rPr>
              <w:t>报价(万元)</w:t>
            </w:r>
          </w:p>
        </w:tc>
      </w:tr>
      <w:tr>
        <w:tc>
          <w:tcPr>
            <w:tcW w:type="dxa" w:w="4876"/>
          </w:tcPr>
          <w:p>
            <w:pPr>
              <w:spacing w:line="276" w:lineRule="auto"/>
            </w:pPr>
            <w:r>
              <w:rPr>
                <w:rFonts w:ascii="微软雅黑" w:hAnsi="微软雅黑" w:eastAsia="微软雅黑"/>
                <w:color w:val="222B35"/>
                <w:sz w:val="21"/>
              </w:rPr>
              <w:t>第一部分  市场与内部深度洞察</w:t>
            </w:r>
          </w:p>
        </w:tc>
        <w:tc>
          <w:tcPr>
            <w:tcW w:type="dxa" w:w="2608"/>
          </w:tcPr>
          <w:p>
            <w:pPr>
              <w:spacing w:line="276" w:lineRule="auto"/>
              <w:jc w:val="center"/>
            </w:pPr>
            <w:r>
              <w:rPr>
                <w:rFonts w:ascii="微软雅黑" w:hAnsi="微软雅黑" w:eastAsia="微软雅黑"/>
                <w:color w:val="222B35"/>
                <w:sz w:val="21"/>
              </w:rPr>
              <w:t>我方</w:t>
            </w:r>
          </w:p>
        </w:tc>
        <w:tc>
          <w:tcPr>
            <w:tcW w:type="dxa" w:w="1474"/>
          </w:tcPr>
          <w:p>
            <w:pPr>
              <w:spacing w:line="276" w:lineRule="auto"/>
              <w:jc w:val="center"/>
            </w:pPr>
            <w:r>
              <w:rPr>
                <w:rFonts w:ascii="微软雅黑" w:hAnsi="微软雅黑" w:eastAsia="微软雅黑"/>
                <w:color w:val="222B35"/>
                <w:sz w:val="21"/>
              </w:rPr>
              <w:t>6</w:t>
            </w:r>
          </w:p>
        </w:tc>
      </w:tr>
      <w:tr>
        <w:tc>
          <w:tcPr>
            <w:tcW w:type="dxa" w:w="4876"/>
            <w:shd w:val="clear" w:color="auto" w:fill="EEF2F8"/>
          </w:tcPr>
          <w:p>
            <w:pPr>
              <w:spacing w:line="276" w:lineRule="auto"/>
            </w:pPr>
            <w:r>
              <w:rPr>
                <w:rFonts w:ascii="微软雅黑" w:hAnsi="微软雅黑" w:eastAsia="微软雅黑"/>
                <w:color w:val="222B35"/>
                <w:sz w:val="21"/>
              </w:rPr>
              <w:t>第二部分  总体战略与故事线构建</w:t>
            </w:r>
          </w:p>
        </w:tc>
        <w:tc>
          <w:tcPr>
            <w:tcW w:type="dxa" w:w="2608"/>
            <w:shd w:val="clear" w:color="auto" w:fill="EEF2F8"/>
          </w:tcPr>
          <w:p>
            <w:pPr>
              <w:spacing w:line="276" w:lineRule="auto"/>
              <w:jc w:val="center"/>
            </w:pPr>
            <w:r>
              <w:rPr>
                <w:rFonts w:ascii="微软雅黑" w:hAnsi="微软雅黑" w:eastAsia="微软雅黑"/>
                <w:color w:val="222B35"/>
                <w:sz w:val="21"/>
              </w:rPr>
              <w:t>我方</w:t>
            </w:r>
          </w:p>
        </w:tc>
        <w:tc>
          <w:tcPr>
            <w:tcW w:type="dxa" w:w="1474"/>
            <w:shd w:val="clear" w:color="auto" w:fill="EEF2F8"/>
          </w:tcPr>
          <w:p>
            <w:pPr>
              <w:spacing w:line="276" w:lineRule="auto"/>
              <w:jc w:val="center"/>
            </w:pPr>
            <w:r>
              <w:rPr>
                <w:rFonts w:ascii="微软雅黑" w:hAnsi="微软雅黑" w:eastAsia="微软雅黑"/>
                <w:color w:val="222B35"/>
                <w:sz w:val="21"/>
              </w:rPr>
              <w:t>5</w:t>
            </w:r>
          </w:p>
        </w:tc>
      </w:tr>
      <w:tr>
        <w:tc>
          <w:tcPr>
            <w:tcW w:type="dxa" w:w="4876"/>
          </w:tcPr>
          <w:p>
            <w:pPr>
              <w:spacing w:line="276" w:lineRule="auto"/>
            </w:pPr>
            <w:r>
              <w:rPr>
                <w:rFonts w:ascii="微软雅黑" w:hAnsi="微软雅黑" w:eastAsia="微软雅黑"/>
                <w:color w:val="222B35"/>
                <w:sz w:val="21"/>
              </w:rPr>
              <w:t>第三部分  产业定位与招商建议</w:t>
            </w:r>
          </w:p>
        </w:tc>
        <w:tc>
          <w:tcPr>
            <w:tcW w:type="dxa" w:w="2608"/>
          </w:tcPr>
          <w:p>
            <w:pPr>
              <w:spacing w:line="276" w:lineRule="auto"/>
              <w:jc w:val="center"/>
            </w:pPr>
            <w:r>
              <w:rPr>
                <w:rFonts w:ascii="微软雅黑" w:hAnsi="微软雅黑" w:eastAsia="微软雅黑"/>
                <w:color w:val="222B35"/>
                <w:sz w:val="21"/>
              </w:rPr>
              <w:t>我方</w:t>
            </w:r>
          </w:p>
        </w:tc>
        <w:tc>
          <w:tcPr>
            <w:tcW w:type="dxa" w:w="1474"/>
          </w:tcPr>
          <w:p>
            <w:pPr>
              <w:spacing w:line="276" w:lineRule="auto"/>
              <w:jc w:val="center"/>
            </w:pPr>
            <w:r>
              <w:rPr>
                <w:rFonts w:ascii="微软雅黑" w:hAnsi="微软雅黑" w:eastAsia="微软雅黑"/>
                <w:color w:val="222B35"/>
                <w:sz w:val="21"/>
              </w:rPr>
              <w:t>5</w:t>
            </w:r>
          </w:p>
        </w:tc>
      </w:tr>
      <w:tr>
        <w:tc>
          <w:tcPr>
            <w:tcW w:type="dxa" w:w="4876"/>
            <w:shd w:val="clear" w:color="auto" w:fill="EEF2F8"/>
          </w:tcPr>
          <w:p>
            <w:pPr>
              <w:spacing w:line="276" w:lineRule="auto"/>
            </w:pPr>
            <w:r>
              <w:rPr>
                <w:rFonts w:ascii="微软雅黑" w:hAnsi="微软雅黑" w:eastAsia="微软雅黑"/>
                <w:color w:val="222B35"/>
                <w:sz w:val="21"/>
              </w:rPr>
              <w:t>第四部分  场景营造与空间引导</w:t>
            </w:r>
          </w:p>
        </w:tc>
        <w:tc>
          <w:tcPr>
            <w:tcW w:type="dxa" w:w="2608"/>
            <w:shd w:val="clear" w:color="auto" w:fill="EEF2F8"/>
          </w:tcPr>
          <w:p>
            <w:pPr>
              <w:spacing w:line="276" w:lineRule="auto"/>
              <w:jc w:val="center"/>
            </w:pPr>
            <w:r>
              <w:rPr>
                <w:rFonts w:ascii="微软雅黑" w:hAnsi="微软雅黑" w:eastAsia="微软雅黑"/>
                <w:color w:val="222B35"/>
                <w:sz w:val="21"/>
              </w:rPr>
              <w:t>内里集（我方不负责）</w:t>
            </w:r>
          </w:p>
        </w:tc>
        <w:tc>
          <w:tcPr>
            <w:tcW w:type="dxa" w:w="1474"/>
            <w:shd w:val="clear" w:color="auto" w:fill="EEF2F8"/>
          </w:tcPr>
          <w:p>
            <w:pPr>
              <w:spacing w:line="276" w:lineRule="auto"/>
              <w:jc w:val="center"/>
            </w:pPr>
            <w:r>
              <w:rPr>
                <w:rFonts w:ascii="微软雅黑" w:hAnsi="微软雅黑" w:eastAsia="微软雅黑"/>
                <w:color w:val="222B35"/>
                <w:sz w:val="21"/>
              </w:rPr>
              <w:t>—（内里集负责）</w:t>
            </w:r>
          </w:p>
        </w:tc>
      </w:tr>
      <w:tr>
        <w:tc>
          <w:tcPr>
            <w:tcW w:type="dxa" w:w="4876"/>
            <w:shd w:val="clear" w:color="auto" w:fill="F6EEDA"/>
          </w:tcPr>
          <w:p>
            <w:pPr>
              <w:spacing w:line="276" w:lineRule="auto"/>
            </w:pPr>
            <w:r>
              <w:rPr>
                <w:rFonts w:ascii="微软雅黑" w:hAnsi="微软雅黑" w:eastAsia="微软雅黑"/>
                <w:b/>
                <w:color w:val="0F2A4A"/>
                <w:sz w:val="21"/>
              </w:rPr>
              <w:t>我方合计（第一至第三部分）</w:t>
            </w:r>
          </w:p>
        </w:tc>
        <w:tc>
          <w:tcPr>
            <w:tcW w:type="dxa" w:w="2608"/>
            <w:shd w:val="clear" w:color="auto" w:fill="F6EEDA"/>
          </w:tcPr>
          <w:p>
            <w:pPr>
              <w:spacing w:line="276" w:lineRule="auto"/>
              <w:jc w:val="center"/>
            </w:pPr>
            <w:r>
              <w:rPr>
                <w:rFonts w:ascii="微软雅黑" w:hAnsi="微软雅黑" w:eastAsia="微软雅黑"/>
                <w:b/>
                <w:color w:val="0F2A4A"/>
                <w:sz w:val="21"/>
              </w:rPr>
              <w:t>我方</w:t>
            </w:r>
          </w:p>
        </w:tc>
        <w:tc>
          <w:tcPr>
            <w:tcW w:type="dxa" w:w="1474"/>
            <w:shd w:val="clear" w:color="auto" w:fill="F6EEDA"/>
          </w:tcPr>
          <w:p>
            <w:pPr>
              <w:spacing w:line="276" w:lineRule="auto"/>
              <w:jc w:val="center"/>
            </w:pPr>
            <w:r>
              <w:rPr>
                <w:rFonts w:ascii="微软雅黑" w:hAnsi="微软雅黑" w:eastAsia="微软雅黑"/>
                <w:b/>
                <w:color w:val="0F2A4A"/>
                <w:sz w:val="21"/>
              </w:rPr>
              <w:t>16</w:t>
            </w:r>
          </w:p>
        </w:tc>
      </w:tr>
    </w:tbl>
    <w:p>
      <w:pPr>
        <w:spacing w:after="120" w:before="0" w:line="360" w:lineRule="auto"/>
      </w:pPr>
      <w:r>
        <w:rPr>
          <w:rFonts w:ascii="微软雅黑" w:hAnsi="微软雅黑" w:eastAsia="微软雅黑"/>
          <w:b w:val="0"/>
          <w:sz w:val="8"/>
        </w:rPr>
      </w:r>
    </w:p>
    <w:p>
      <w:pPr>
        <w:pStyle w:val="ListBullet"/>
        <w:spacing w:after="80" w:line="336" w:lineRule="auto"/>
      </w:pPr>
      <w:r>
        <w:rPr>
          <w:rFonts w:ascii="微软雅黑" w:hAnsi="微软雅黑" w:eastAsia="微软雅黑"/>
          <w:sz w:val="21"/>
        </w:rPr>
        <w:t>本报价为含税参考价(人民币),仅覆盖第一至第三部分(我方负责范围),合计16万元。</w:t>
      </w:r>
    </w:p>
    <w:p>
      <w:pPr>
        <w:pStyle w:val="ListBullet"/>
        <w:spacing w:after="80" w:line="336" w:lineRule="auto"/>
      </w:pPr>
      <w:r>
        <w:rPr>
          <w:rFonts w:ascii="微软雅黑" w:hAnsi="微软雅黑" w:eastAsia="微软雅黑"/>
          <w:sz w:val="21"/>
        </w:rPr>
        <w:t>第四部分“场景营造与空间引导”由内里集负责,不在本报价范围内。</w:t>
      </w:r>
    </w:p>
    <w:p>
      <w:pPr>
        <w:pStyle w:val="ListBullet"/>
        <w:spacing w:after="80" w:line="336" w:lineRule="auto"/>
      </w:pPr>
      <w:r>
        <w:rPr>
          <w:rFonts w:ascii="微软雅黑" w:hAnsi="微软雅黑" w:eastAsia="微软雅黑"/>
          <w:sz w:val="21"/>
        </w:rPr>
        <w:t>服务周期:合同签订并收到首笔款项及主要提资材料后约3个月(可按委托方需求调整)。</w:t>
      </w:r>
    </w:p>
    <w:p>
      <w:pPr>
        <w:pStyle w:val="ListBullet"/>
        <w:spacing w:after="80" w:line="336" w:lineRule="auto"/>
      </w:pPr>
      <w:r>
        <w:rPr>
          <w:rFonts w:ascii="微软雅黑" w:hAnsi="微软雅黑" w:eastAsia="微软雅黑"/>
          <w:sz w:val="21"/>
        </w:rPr>
        <w:t>付款建议:合同签订后支付40%,第二部分成果通过评审后支付30%,全部成果验收后支付30%。</w:t>
      </w:r>
    </w:p>
    <w:p>
      <w:pPr>
        <w:pStyle w:val="ListBullet"/>
        <w:spacing w:after="80" w:line="336" w:lineRule="auto"/>
      </w:pPr>
      <w:r>
        <w:rPr>
          <w:rFonts w:ascii="微软雅黑" w:hAnsi="微软雅黑" w:eastAsia="微软雅黑"/>
          <w:sz w:val="21"/>
        </w:rPr>
        <w:t>差旅费用:上海—广州往返差旅按实报销或包干另议。</w:t>
      </w:r>
    </w:p>
    <w:p>
      <w:pPr>
        <w:spacing w:before="320" w:after="160"/>
        <w:shd w:val="clear" w:color="auto" w:fill="C79A3B"/>
        <w:pBdr>
          <w:bottom w:val="single" w:sz="14" w:space="3" w:color="C79A3B"/>
        </w:pBdr>
      </w:pPr>
      <w:r>
        <w:rPr>
          <w:rFonts w:ascii="微软雅黑" w:hAnsi="微软雅黑" w:eastAsia="微软雅黑"/>
          <w:b/>
          <w:color w:val="FFFFFF"/>
          <w:sz w:val="30"/>
        </w:rPr>
        <w:t xml:space="preserve">  五  </w:t>
      </w:r>
      <w:r>
        <w:rPr>
          <w:rFonts w:ascii="微软雅黑" w:hAnsi="微软雅黑" w:eastAsia="微软雅黑"/>
          <w:b/>
          <w:color w:val="0F2A4A"/>
          <w:sz w:val="32"/>
        </w:rPr>
        <w:t xml:space="preserve">  服务团队与说明</w:t>
      </w:r>
    </w:p>
    <w:p>
      <w:pPr>
        <w:spacing w:after="120" w:before="0" w:line="360" w:lineRule="auto"/>
        <w:ind w:firstLine="480"/>
      </w:pPr>
      <w:r>
        <w:rPr>
          <w:rFonts w:ascii="微软雅黑" w:hAnsi="微软雅黑" w:eastAsia="微软雅黑"/>
          <w:b w:val="0"/>
          <w:sz w:val="23"/>
        </w:rPr>
        <w:t>本项目第一至第三部分由复旦大学住房政策研究中心与上海市杨浦区科技企业联合会联合组建服务团队:研究中心负责政策研究、市场洞察与战略定位;科技企业联合会负责产业资源组织、招商与出海路径设计。第四部分由内里集负责,双方按框架分工协同推进。</w:t>
      </w:r>
    </w:p>
    <w:p>
      <w:pPr>
        <w:spacing w:after="120" w:before="0" w:line="360" w:lineRule="auto"/>
        <w:ind w:firstLine="480"/>
      </w:pPr>
      <w:r>
        <w:rPr>
          <w:rFonts w:ascii="微软雅黑" w:hAnsi="微软雅黑" w:eastAsia="微软雅黑"/>
          <w:b w:val="0"/>
          <w:sz w:val="23"/>
        </w:rPr>
        <w:t>联系方式:另行提供(以正式合同联络人为准)。</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