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上海商办楼宇与产业园区市场报告深度版"/>
    <w:p>
      <w:pPr>
        <w:pStyle w:val="Heading1"/>
      </w:pPr>
      <w:r>
        <w:t xml:space="preserve">上海商办楼宇与产业园区市场报告（深度版）</w:t>
      </w:r>
    </w:p>
    <w:p>
      <w:pPr>
        <w:pStyle w:val="BlockText"/>
      </w:pPr>
      <w:r>
        <w:t xml:space="preserve">易居房地产研究院 × AI 数据获取方 · 联合研发</w:t>
      </w:r>
      <w:r>
        <w:t xml:space="preserve"> </w:t>
      </w:r>
      <w:r>
        <w:t xml:space="preserve">全域空间供给 · 企业需求迁徙 · 产业载体运营研究</w:t>
      </w:r>
      <w:r>
        <w:t xml:space="preserve"> </w:t>
      </w:r>
      <w:r>
        <w:t xml:space="preserve">报告期：20XX 年 X 季度 ｜ 版本：深度报告 V1.0</w:t>
      </w:r>
    </w:p>
    <w:p>
      <w:r>
        <w:pict>
          <v:rect style="width:0;height:1.5pt" o:hralign="center" o:hrstd="t" o:hr="t"/>
        </w:pict>
      </w:r>
    </w:p>
    <w:bookmarkStart w:id="20" w:name="关于本报告的两点说明撰稿须知"/>
    <w:p>
      <w:pPr>
        <w:pStyle w:val="Heading2"/>
      </w:pPr>
      <w:r>
        <w:t xml:space="preserve">关于本报告的两点说明（撰稿须知）</w:t>
      </w:r>
    </w:p>
    <w:p>
      <w:pPr>
        <w:numPr>
          <w:ilvl w:val="0"/>
          <w:numId w:val="1001"/>
        </w:numPr>
        <w:pStyle w:val="Compact"/>
      </w:pPr>
      <w:r>
        <w:rPr>
          <w:bCs/>
          <w:b/>
        </w:rPr>
        <w:t xml:space="preserve">本报告为按既定大纲撰写的”可发布结构母版”</w:t>
      </w:r>
      <w:r>
        <w:t xml:space="preserve">：定性研判、分析框架、产业地理与策略建议为正文实写内容，基于公开市场认知与行业 Know-how；凡涉及具体数值（面积、租金、空置率、净吸纳量、企业数量、迁徙规模等），统一以</w:t>
      </w:r>
      <w:r>
        <w:t xml:space="preserve"> </w:t>
      </w:r>
      <w:r>
        <w:rPr>
          <w:bCs/>
          <w:b/>
        </w:rPr>
        <w:t xml:space="preserve">〔D-编号〕</w:t>
      </w:r>
      <w:r>
        <w:t xml:space="preserve"> </w:t>
      </w:r>
      <w:r>
        <w:t xml:space="preserve">占位标注，由后台数据库（详见配套《大纲与数据来源调用指引》）按月度/季度刷新后回填。</w:t>
      </w:r>
    </w:p>
    <w:p>
      <w:pPr>
        <w:numPr>
          <w:ilvl w:val="0"/>
          <w:numId w:val="1001"/>
        </w:numPr>
        <w:pStyle w:val="Compact"/>
      </w:pPr>
      <w:r>
        <w:rPr>
          <w:bCs/>
          <w:b/>
        </w:rPr>
        <w:t xml:space="preserve">口径声明</w:t>
      </w:r>
      <w:r>
        <w:t xml:space="preserve">：空置率默认采用”招商可租面积”口径并标注代理性质；租金分”报价租金”与”成交租金”双列，并提供”含物业费全成本租金”扩展口径；行业按 GB/T 4754 四位码 + 二级产业标签；区域颗粒度统一至”行政区 + 街道/镇”。</w:t>
      </w:r>
    </w:p>
    <w:p>
      <w:r>
        <w:pict>
          <v:rect style="width:0;height:1.5pt" o:hralign="center" o:hrstd="t" o:hr="t"/>
        </w:pict>
      </w:r>
    </w:p>
    <w:bookmarkEnd w:id="20"/>
    <w:bookmarkEnd w:id="21"/>
    <w:bookmarkStart w:id="28" w:name="执行摘要-executive-summary"/>
    <w:p>
      <w:pPr>
        <w:pStyle w:val="Heading1"/>
      </w:pPr>
      <w:r>
        <w:t xml:space="preserve">执行摘要 Executive Summary</w:t>
      </w:r>
    </w:p>
    <w:bookmarkStart w:id="22" w:name="一句话市场判断"/>
    <w:p>
      <w:pPr>
        <w:pStyle w:val="Heading2"/>
      </w:pPr>
      <w:r>
        <w:t xml:space="preserve">一句话市场判断</w:t>
      </w:r>
    </w:p>
    <w:p>
      <w:pPr>
        <w:pStyle w:val="FirstParagraph"/>
      </w:pPr>
      <w:r>
        <w:t xml:space="preserve">本期上海商办楼宇与产业园区市场整体处于</w:t>
      </w:r>
      <w:r>
        <w:t xml:space="preserve"> </w:t>
      </w:r>
      <w:r>
        <w:rPr>
          <w:bCs/>
          <w:b/>
        </w:rPr>
        <w:t xml:space="preserve">“</w:t>
      </w:r>
      <w:r>
        <w:rPr>
          <w:bCs/>
          <w:b/>
        </w:rPr>
        <w:t xml:space="preserve">总量承压、结构分化、存量精耕</w:t>
      </w:r>
      <w:r>
        <w:rPr>
          <w:bCs/>
          <w:b/>
        </w:rPr>
        <w:t xml:space="preserve">”</w:t>
      </w:r>
      <w:r>
        <w:t xml:space="preserve"> </w:t>
      </w:r>
      <w:r>
        <w:t xml:space="preserve">阶段：核心商务区甲级写字楼仍在消化新增供应与企业降本外迁的双重压力，而具备明确产业定位、政策赋能与高性价比的产业园区、科创载体展现出更强的需求韧性。市场正从”规模扩张”转向”存量盘活 + 产业赋能”的临界点。</w:t>
      </w:r>
    </w:p>
    <w:bookmarkEnd w:id="22"/>
    <w:bookmarkStart w:id="23" w:name="三个核心结论"/>
    <w:p>
      <w:pPr>
        <w:pStyle w:val="Heading2"/>
      </w:pPr>
      <w:r>
        <w:t xml:space="preserve">三个核心结论</w:t>
      </w:r>
    </w:p>
    <w:p>
      <w:pPr>
        <w:numPr>
          <w:ilvl w:val="0"/>
          <w:numId w:val="1002"/>
        </w:numPr>
        <w:pStyle w:val="Compact"/>
      </w:pPr>
      <w:r>
        <w:rPr>
          <w:bCs/>
          <w:b/>
        </w:rPr>
        <w:t xml:space="preserve">供给端</w:t>
      </w:r>
      <w:r>
        <w:t xml:space="preserve">：全市经营性办公及产业载体存量约 〔D-01〕亿㎡，仍处新增供应高位释放期；超甲/甲级集中于核心商务区，乙级及产业园区构成全域市场主体，</w:t>
      </w:r>
      <w:r>
        <w:t xml:space="preserve">“</w:t>
      </w:r>
      <w:r>
        <w:t xml:space="preserve">重核心区、轻全域</w:t>
      </w:r>
      <w:r>
        <w:t xml:space="preserve">”</w:t>
      </w:r>
      <w:r>
        <w:t xml:space="preserve">的传统认知与真实供给结构存在显著偏差。</w:t>
      </w:r>
    </w:p>
    <w:p>
      <w:pPr>
        <w:numPr>
          <w:ilvl w:val="0"/>
          <w:numId w:val="1002"/>
        </w:numPr>
        <w:pStyle w:val="Compact"/>
      </w:pPr>
      <w:r>
        <w:rPr>
          <w:bCs/>
          <w:b/>
        </w:rPr>
        <w:t xml:space="preserve">需求端</w:t>
      </w:r>
      <w:r>
        <w:t xml:space="preserve">：企业选址逻辑已从”地段/形象优先”全面转向”成本可控 + 产业协同 + 政策赋能 + 空间适配 + 服务配套”的综合决策；AI、生物医药、集成电路、智能驾驶等新质生产力方向是为数不多的净增量需求来源。</w:t>
      </w:r>
    </w:p>
    <w:p>
      <w:pPr>
        <w:numPr>
          <w:ilvl w:val="0"/>
          <w:numId w:val="1002"/>
        </w:numPr>
        <w:pStyle w:val="Compact"/>
      </w:pPr>
      <w:r>
        <w:rPr>
          <w:bCs/>
          <w:b/>
        </w:rPr>
        <w:t xml:space="preserve">价格端</w:t>
      </w:r>
      <w:r>
        <w:t xml:space="preserve">：全市平均报价租金 〔D-02〕元/㎡/天，成交租金与报价价差走阔（议价空间扩大、免租期拉长），含物业费的全成本口径下企业真实承租成本的区域分化进一步加剧。</w:t>
      </w:r>
    </w:p>
    <w:bookmarkEnd w:id="23"/>
    <w:bookmarkStart w:id="24" w:name="三个关键机会-三个风险预警"/>
    <w:p>
      <w:pPr>
        <w:pStyle w:val="Heading2"/>
      </w:pPr>
      <w:r>
        <w:t xml:space="preserve">三个关键机会 × 三个风险预警</w:t>
      </w:r>
    </w:p>
    <w:p>
      <w:pPr>
        <w:numPr>
          <w:ilvl w:val="0"/>
          <w:numId w:val="1003"/>
        </w:numPr>
        <w:pStyle w:val="Compact"/>
      </w:pPr>
      <w:r>
        <w:rPr>
          <w:bCs/>
          <w:b/>
        </w:rPr>
        <w:t xml:space="preserve">机会</w:t>
      </w:r>
      <w:r>
        <w:t xml:space="preserve">：① 区域机会——滨江带（徐汇滨江/北外滩/杨浦滨江）AI 与数字经济导入；② 产业机会——生物医药”实验室+办公”复合空间、AI 算力邻近型办公；③ 产品机会——老旧楼宇向垂直产业社区/研发办公改造。</w:t>
      </w:r>
    </w:p>
    <w:p>
      <w:pPr>
        <w:numPr>
          <w:ilvl w:val="0"/>
          <w:numId w:val="1003"/>
        </w:numPr>
        <w:pStyle w:val="Compact"/>
      </w:pPr>
      <w:r>
        <w:rPr>
          <w:bCs/>
          <w:b/>
        </w:rPr>
        <w:t xml:space="preserve">风险</w:t>
      </w:r>
      <w:r>
        <w:t xml:space="preserve">：① 高新增供应板块去化压力（空置预警）；② 供给（大面积总部）与需求（中小科创）结构性错配；③ 远郊产业园同质化竞争下的去化迟滞。</w:t>
      </w:r>
    </w:p>
    <w:bookmarkEnd w:id="24"/>
    <w:bookmarkStart w:id="25" w:name="关键指标速览指标卡片数值由数据库回填"/>
    <w:p>
      <w:pPr>
        <w:pStyle w:val="Heading2"/>
      </w:pPr>
      <w:r>
        <w:t xml:space="preserve">关键指标速览（指标卡片，数值由数据库回填）</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全市</w:t>
            </w:r>
          </w:p>
        </w:tc>
        <w:tc>
          <w:tcPr/>
          <w:p>
            <w:pPr>
              <w:pStyle w:val="Compact"/>
              <w:jc w:val="left"/>
            </w:pPr>
            <w:r>
              <w:t xml:space="preserve">中心城区</w:t>
            </w:r>
          </w:p>
        </w:tc>
        <w:tc>
          <w:tcPr/>
          <w:p>
            <w:pPr>
              <w:pStyle w:val="Compact"/>
              <w:jc w:val="left"/>
            </w:pPr>
            <w:r>
              <w:t xml:space="preserve">浦东</w:t>
            </w:r>
          </w:p>
        </w:tc>
        <w:tc>
          <w:tcPr/>
          <w:p>
            <w:pPr>
              <w:pStyle w:val="Compact"/>
              <w:jc w:val="left"/>
            </w:pPr>
            <w:r>
              <w:t xml:space="preserve">其他郊区</w:t>
            </w:r>
          </w:p>
        </w:tc>
      </w:tr>
      <w:tr>
        <w:tc>
          <w:tcPr/>
          <w:p>
            <w:pPr>
              <w:pStyle w:val="Compact"/>
              <w:jc w:val="left"/>
            </w:pPr>
            <w:r>
              <w:t xml:space="preserve">存量可租赁面积（万㎡）</w:t>
            </w:r>
          </w:p>
        </w:tc>
        <w:tc>
          <w:tcPr/>
          <w:p>
            <w:pPr>
              <w:pStyle w:val="Compact"/>
              <w:jc w:val="left"/>
            </w:pPr>
            <w:r>
              <w:t xml:space="preserve">〔D-03〕</w:t>
            </w:r>
          </w:p>
        </w:tc>
        <w:tc>
          <w:tcPr/>
          <w:p>
            <w:pPr>
              <w:pStyle w:val="Compact"/>
              <w:jc w:val="left"/>
            </w:pPr>
            <w:r>
              <w:t xml:space="preserve">〔D-04〕</w:t>
            </w:r>
          </w:p>
        </w:tc>
        <w:tc>
          <w:tcPr/>
          <w:p>
            <w:pPr>
              <w:pStyle w:val="Compact"/>
              <w:jc w:val="left"/>
            </w:pPr>
            <w:r>
              <w:t xml:space="preserve">〔D-05〕</w:t>
            </w:r>
          </w:p>
        </w:tc>
        <w:tc>
          <w:tcPr/>
          <w:p>
            <w:pPr>
              <w:pStyle w:val="Compact"/>
              <w:jc w:val="left"/>
            </w:pPr>
            <w:r>
              <w:t xml:space="preserve">〔D-06〕</w:t>
            </w:r>
          </w:p>
        </w:tc>
      </w:tr>
      <w:tr>
        <w:tc>
          <w:tcPr/>
          <w:p>
            <w:pPr>
              <w:pStyle w:val="Compact"/>
              <w:jc w:val="left"/>
            </w:pPr>
            <w:r>
              <w:t xml:space="preserve">平均报价租金（元/㎡/天）</w:t>
            </w:r>
          </w:p>
        </w:tc>
        <w:tc>
          <w:tcPr/>
          <w:p>
            <w:pPr>
              <w:pStyle w:val="Compact"/>
              <w:jc w:val="left"/>
            </w:pPr>
            <w:r>
              <w:t xml:space="preserve">〔D-07〕</w:t>
            </w:r>
          </w:p>
        </w:tc>
        <w:tc>
          <w:tcPr/>
          <w:p>
            <w:pPr>
              <w:pStyle w:val="Compact"/>
              <w:jc w:val="left"/>
            </w:pPr>
            <w:r>
              <w:t xml:space="preserve">〔D-08〕</w:t>
            </w:r>
          </w:p>
        </w:tc>
        <w:tc>
          <w:tcPr/>
          <w:p>
            <w:pPr>
              <w:pStyle w:val="Compact"/>
              <w:jc w:val="left"/>
            </w:pPr>
            <w:r>
              <w:t xml:space="preserve">〔D-09〕</w:t>
            </w:r>
          </w:p>
        </w:tc>
        <w:tc>
          <w:tcPr/>
          <w:p>
            <w:pPr>
              <w:pStyle w:val="Compact"/>
              <w:jc w:val="left"/>
            </w:pPr>
            <w:r>
              <w:t xml:space="preserve">〔D-10〕</w:t>
            </w:r>
          </w:p>
        </w:tc>
      </w:tr>
      <w:tr>
        <w:tc>
          <w:tcPr/>
          <w:p>
            <w:pPr>
              <w:pStyle w:val="Compact"/>
              <w:jc w:val="left"/>
            </w:pPr>
            <w:r>
              <w:t xml:space="preserve">空置率（招商口径，%）</w:t>
            </w:r>
          </w:p>
        </w:tc>
        <w:tc>
          <w:tcPr/>
          <w:p>
            <w:pPr>
              <w:pStyle w:val="Compact"/>
              <w:jc w:val="left"/>
            </w:pPr>
            <w:r>
              <w:t xml:space="preserve">〔D-11〕</w:t>
            </w:r>
          </w:p>
        </w:tc>
        <w:tc>
          <w:tcPr/>
          <w:p>
            <w:pPr>
              <w:pStyle w:val="Compact"/>
              <w:jc w:val="left"/>
            </w:pPr>
            <w:r>
              <w:t xml:space="preserve">〔D-12〕</w:t>
            </w:r>
          </w:p>
        </w:tc>
        <w:tc>
          <w:tcPr/>
          <w:p>
            <w:pPr>
              <w:pStyle w:val="Compact"/>
              <w:jc w:val="left"/>
            </w:pPr>
            <w:r>
              <w:t xml:space="preserve">〔D-13〕</w:t>
            </w:r>
          </w:p>
        </w:tc>
        <w:tc>
          <w:tcPr/>
          <w:p>
            <w:pPr>
              <w:pStyle w:val="Compact"/>
              <w:jc w:val="left"/>
            </w:pPr>
            <w:r>
              <w:t xml:space="preserve">〔D-14〕</w:t>
            </w:r>
          </w:p>
        </w:tc>
      </w:tr>
      <w:tr>
        <w:tc>
          <w:tcPr/>
          <w:p>
            <w:pPr>
              <w:pStyle w:val="Compact"/>
              <w:jc w:val="left"/>
            </w:pPr>
            <w:r>
              <w:t xml:space="preserve">季度净吸纳量（万㎡）</w:t>
            </w:r>
          </w:p>
        </w:tc>
        <w:tc>
          <w:tcPr/>
          <w:p>
            <w:pPr>
              <w:pStyle w:val="Compact"/>
              <w:jc w:val="left"/>
            </w:pPr>
            <w:r>
              <w:t xml:space="preserve">〔D-15〕</w:t>
            </w:r>
          </w:p>
        </w:tc>
        <w:tc>
          <w:tcPr/>
          <w:p>
            <w:pPr>
              <w:pStyle w:val="Compact"/>
              <w:jc w:val="left"/>
            </w:pPr>
            <w:r>
              <w:t xml:space="preserve">〔D-16〕</w:t>
            </w:r>
          </w:p>
        </w:tc>
        <w:tc>
          <w:tcPr/>
          <w:p>
            <w:pPr>
              <w:pStyle w:val="Compact"/>
              <w:jc w:val="left"/>
            </w:pPr>
            <w:r>
              <w:t xml:space="preserve">〔D-17〕</w:t>
            </w:r>
          </w:p>
        </w:tc>
        <w:tc>
          <w:tcPr/>
          <w:p>
            <w:pPr>
              <w:pStyle w:val="Compact"/>
              <w:jc w:val="left"/>
            </w:pPr>
            <w:r>
              <w:t xml:space="preserve">〔D-18〕</w:t>
            </w:r>
          </w:p>
        </w:tc>
      </w:tr>
      <w:tr>
        <w:tc>
          <w:tcPr/>
          <w:p>
            <w:pPr>
              <w:pStyle w:val="Compact"/>
              <w:jc w:val="left"/>
            </w:pPr>
            <w:r>
              <w:t xml:space="preserve">季度新增供应（万㎡）</w:t>
            </w:r>
          </w:p>
        </w:tc>
        <w:tc>
          <w:tcPr/>
          <w:p>
            <w:pPr>
              <w:pStyle w:val="Compact"/>
              <w:jc w:val="left"/>
            </w:pPr>
            <w:r>
              <w:t xml:space="preserve">〔D-19〕</w:t>
            </w:r>
          </w:p>
        </w:tc>
        <w:tc>
          <w:tcPr/>
          <w:p>
            <w:pPr>
              <w:pStyle w:val="Compact"/>
              <w:jc w:val="left"/>
            </w:pPr>
            <w:r>
              <w:t xml:space="preserve">〔D-20〕</w:t>
            </w:r>
          </w:p>
        </w:tc>
        <w:tc>
          <w:tcPr/>
          <w:p>
            <w:pPr>
              <w:pStyle w:val="Compact"/>
              <w:jc w:val="left"/>
            </w:pPr>
            <w:r>
              <w:t xml:space="preserve">〔D-21〕</w:t>
            </w:r>
          </w:p>
        </w:tc>
        <w:tc>
          <w:tcPr/>
          <w:p>
            <w:pPr>
              <w:pStyle w:val="Compact"/>
              <w:jc w:val="left"/>
            </w:pPr>
            <w:r>
              <w:t xml:space="preserve">〔D-22〕</w:t>
            </w:r>
          </w:p>
        </w:tc>
      </w:tr>
    </w:tbl>
    <w:bookmarkEnd w:id="25"/>
    <w:bookmarkStart w:id="26" w:name="top-榜单"/>
    <w:p>
      <w:pPr>
        <w:pStyle w:val="Heading2"/>
      </w:pPr>
      <w:r>
        <w:t xml:space="preserve">Top 榜单</w:t>
      </w:r>
    </w:p>
    <w:p>
      <w:pPr>
        <w:numPr>
          <w:ilvl w:val="0"/>
          <w:numId w:val="1004"/>
        </w:numPr>
        <w:pStyle w:val="Compact"/>
      </w:pPr>
      <w:r>
        <w:rPr>
          <w:bCs/>
          <w:b/>
        </w:rPr>
        <w:t xml:space="preserve">Top10 招商优先板块</w:t>
      </w:r>
      <w:r>
        <w:t xml:space="preserve">（按供需匹配度 + 净流入排序）：〔D-23 榜单〕——参考候选：张江、临港、徐汇滨江、北外滩、前滩、漕河泾、杨浦滨江、大虹桥、金桥、紫竹。</w:t>
      </w:r>
    </w:p>
    <w:p>
      <w:pPr>
        <w:numPr>
          <w:ilvl w:val="0"/>
          <w:numId w:val="1004"/>
        </w:numPr>
        <w:pStyle w:val="Compact"/>
      </w:pPr>
      <w:r>
        <w:rPr>
          <w:bCs/>
          <w:b/>
        </w:rPr>
        <w:t xml:space="preserve">Top10 潜力产业</w:t>
      </w:r>
      <w:r>
        <w:t xml:space="preserve">（按需求热度 + 融资活跃度排序）：AI/大模型、集成电路、生物医药、智能驾驶、机器人、低空经济、数字贸易/跨境电商、绿色低碳、高端装备、生产性服务业。</w:t>
      </w:r>
    </w:p>
    <w:bookmarkEnd w:id="26"/>
    <w:bookmarkStart w:id="27" w:name="分角色战略建议概览"/>
    <w:p>
      <w:pPr>
        <w:pStyle w:val="Heading2"/>
      </w:pPr>
      <w:r>
        <w:t xml:space="preserve">分角色战略建议概览</w:t>
      </w:r>
    </w:p>
    <w:p>
      <w:pPr>
        <w:numPr>
          <w:ilvl w:val="0"/>
          <w:numId w:val="1005"/>
        </w:numPr>
        <w:pStyle w:val="Compact"/>
      </w:pPr>
      <w:r>
        <w:rPr>
          <w:bCs/>
          <w:b/>
        </w:rPr>
        <w:t xml:space="preserve">政府</w:t>
      </w:r>
      <w:r>
        <w:t xml:space="preserve">：以街镇为单元动态监测空置与迁徙，对高空置区精准招商，建立产业导入—楼宇更新联动机制。</w:t>
      </w:r>
    </w:p>
    <w:p>
      <w:pPr>
        <w:numPr>
          <w:ilvl w:val="0"/>
          <w:numId w:val="1005"/>
        </w:numPr>
        <w:pStyle w:val="Compact"/>
      </w:pPr>
      <w:r>
        <w:rPr>
          <w:bCs/>
          <w:b/>
        </w:rPr>
        <w:t xml:space="preserve">资产方</w:t>
      </w:r>
      <w:r>
        <w:t xml:space="preserve">：以”成交租金而非挂牌租金”为定价基准，对高空置资产采取”降价/改造/联合运营”组合，为 REITs 储备数据。</w:t>
      </w:r>
    </w:p>
    <w:p>
      <w:pPr>
        <w:numPr>
          <w:ilvl w:val="0"/>
          <w:numId w:val="1005"/>
        </w:numPr>
        <w:pStyle w:val="Compact"/>
      </w:pPr>
      <w:r>
        <w:rPr>
          <w:bCs/>
          <w:b/>
        </w:rPr>
        <w:t xml:space="preserve">园区运营方</w:t>
      </w:r>
      <w:r>
        <w:t xml:space="preserve">：从”租赁招商”转向”产业招商”，建企业画像 + 招商漏斗，补足企业服务与产业链资源。</w:t>
      </w:r>
    </w:p>
    <w:p>
      <w:pPr>
        <w:numPr>
          <w:ilvl w:val="0"/>
          <w:numId w:val="1005"/>
        </w:numPr>
        <w:pStyle w:val="Compact"/>
      </w:pPr>
      <w:r>
        <w:rPr>
          <w:bCs/>
          <w:b/>
        </w:rPr>
        <w:t xml:space="preserve">企业</w:t>
      </w:r>
      <w:r>
        <w:t xml:space="preserve">：建立全成本模型，按发展阶段匹配空间，重视区域未来产业趋势与人才可达性。</w:t>
      </w:r>
    </w:p>
    <w:p>
      <w:r>
        <w:pict>
          <v:rect style="width:0;height:1.5pt" o:hralign="center" o:hrstd="t" o:hr="t"/>
        </w:pict>
      </w:r>
    </w:p>
    <w:bookmarkEnd w:id="27"/>
    <w:bookmarkEnd w:id="28"/>
    <w:bookmarkStart w:id="40" w:name="第一章-市场全景概览存量格局与运行态势"/>
    <w:p>
      <w:pPr>
        <w:pStyle w:val="Heading1"/>
      </w:pPr>
      <w:r>
        <w:t xml:space="preserve">第一章 · 市场全景概览：存量格局与运行态势</w:t>
      </w:r>
    </w:p>
    <w:bookmarkStart w:id="34" w:name="全市存量供给家底摸排"/>
    <w:p>
      <w:pPr>
        <w:pStyle w:val="Heading2"/>
      </w:pPr>
      <w:r>
        <w:t xml:space="preserve">1.1 全市存量供给家底摸排</w:t>
      </w:r>
    </w:p>
    <w:bookmarkStart w:id="29" w:name="全域总量"/>
    <w:p>
      <w:pPr>
        <w:pStyle w:val="Heading3"/>
      </w:pPr>
      <w:r>
        <w:t xml:space="preserve">1.1.1 全域总量</w:t>
      </w:r>
    </w:p>
    <w:p>
      <w:pPr>
        <w:pStyle w:val="FirstParagraph"/>
      </w:pPr>
      <w:r>
        <w:t xml:space="preserve">上海经营性办公及产业载体（写字楼 + 各类产业/科创园区 + 孵化器）总建筑面积约 〔D-24〕亿㎡，可租赁面积约 〔D-25〕亿㎡。其中：办公类（含超甲/甲/乙级及商务楼宇）约 〔D-26〕，产业园区类约 〔D-27〕。本报告突破”仅甲级写字楼”的样本局限，首次将全域经营性租赁载体纳入统计底盘。</w:t>
      </w:r>
    </w:p>
    <w:bookmarkEnd w:id="29"/>
    <w:bookmarkStart w:id="30" w:name="行政区与街道分布"/>
    <w:p>
      <w:pPr>
        <w:pStyle w:val="Heading3"/>
      </w:pPr>
      <w:r>
        <w:t xml:space="preserve">1.1.2 行政区与街道分布</w:t>
      </w:r>
    </w:p>
    <w:p>
      <w:pPr>
        <w:numPr>
          <w:ilvl w:val="0"/>
          <w:numId w:val="1006"/>
        </w:numPr>
        <w:pStyle w:val="Compact"/>
      </w:pPr>
      <w:r>
        <w:t xml:space="preserve">存量面积 TOP 行政区：〔D-28 排序，参考结构——浦东、黄浦、静安、徐汇等领先〕。</w:t>
      </w:r>
    </w:p>
    <w:p>
      <w:pPr>
        <w:numPr>
          <w:ilvl w:val="0"/>
          <w:numId w:val="1006"/>
        </w:numPr>
        <w:pStyle w:val="Compact"/>
      </w:pPr>
      <w:r>
        <w:t xml:space="preserve">以街道/镇为最小研判单元，全市识别出高密度商务集聚街道 〔D-29〕个，构成”核心区高密、近郊带状、远郊点状”的空间格局。</w:t>
      </w:r>
    </w:p>
    <w:p>
      <w:pPr>
        <w:numPr>
          <w:ilvl w:val="0"/>
          <w:numId w:val="1006"/>
        </w:numPr>
        <w:pStyle w:val="Compact"/>
      </w:pPr>
      <w:r>
        <w:rPr>
          <w:bCs/>
          <w:b/>
        </w:rPr>
        <w:t xml:space="preserve">图：全域存量热力图</w:t>
      </w:r>
      <w:r>
        <w:t xml:space="preserve">（行政区→街道→楼宇下钻）。</w:t>
      </w:r>
    </w:p>
    <w:bookmarkEnd w:id="30"/>
    <w:bookmarkStart w:id="31" w:name="资产分层结构办公空间金字塔"/>
    <w:p>
      <w:pPr>
        <w:pStyle w:val="Heading3"/>
      </w:pPr>
      <w:r>
        <w:t xml:space="preserve">1.1.3 资产分层结构（办公空间金字塔）</w:t>
      </w:r>
    </w:p>
    <w:p>
      <w:pPr>
        <w:numPr>
          <w:ilvl w:val="0"/>
          <w:numId w:val="1007"/>
        </w:numPr>
        <w:pStyle w:val="Compact"/>
      </w:pPr>
      <w:r>
        <w:rPr>
          <w:bCs/>
          <w:b/>
        </w:rPr>
        <w:t xml:space="preserve">塔尖（超甲级）</w:t>
      </w:r>
      <w:r>
        <w:t xml:space="preserve">：高度集中于陆家嘴、南京西路、淮海中路等核心商务区，面积占比小但租金标杆作用强。</w:t>
      </w:r>
    </w:p>
    <w:p>
      <w:pPr>
        <w:numPr>
          <w:ilvl w:val="0"/>
          <w:numId w:val="1007"/>
        </w:numPr>
        <w:pStyle w:val="Compact"/>
      </w:pPr>
      <w:r>
        <w:rPr>
          <w:bCs/>
          <w:b/>
        </w:rPr>
        <w:t xml:space="preserve">塔身（甲级）</w:t>
      </w:r>
      <w:r>
        <w:t xml:space="preserve">：核心区 + 前滩/北外滩/徐汇滨江/大虹桥等新兴商务带。</w:t>
      </w:r>
    </w:p>
    <w:p>
      <w:pPr>
        <w:numPr>
          <w:ilvl w:val="0"/>
          <w:numId w:val="1007"/>
        </w:numPr>
        <w:pStyle w:val="Compact"/>
      </w:pPr>
      <w:r>
        <w:rPr>
          <w:bCs/>
          <w:b/>
        </w:rPr>
        <w:t xml:space="preserve">塔基（乙级及以下 + 产业园区）</w:t>
      </w:r>
      <w:r>
        <w:t xml:space="preserve">：覆盖全域街镇，是真实市场的需求承载主体与本报告差异化价值所在。</w:t>
      </w:r>
    </w:p>
    <w:p>
      <w:pPr>
        <w:numPr>
          <w:ilvl w:val="0"/>
          <w:numId w:val="1007"/>
        </w:numPr>
        <w:pStyle w:val="Compact"/>
      </w:pPr>
      <w:r>
        <w:rPr>
          <w:bCs/>
          <w:b/>
        </w:rPr>
        <w:t xml:space="preserve">图：上海办公空间金字塔模型</w:t>
      </w:r>
      <w:r>
        <w:t xml:space="preserve">（面积占比 × 租金梯度）。</w:t>
      </w:r>
    </w:p>
    <w:bookmarkEnd w:id="31"/>
    <w:bookmarkStart w:id="32" w:name="持有与运营结构"/>
    <w:p>
      <w:pPr>
        <w:pStyle w:val="Heading3"/>
      </w:pPr>
      <w:r>
        <w:t xml:space="preserve">1.1.4 持有与运营结构</w:t>
      </w:r>
    </w:p>
    <w:p>
      <w:pPr>
        <w:numPr>
          <w:ilvl w:val="0"/>
          <w:numId w:val="1008"/>
        </w:numPr>
        <w:pStyle w:val="Compact"/>
      </w:pPr>
      <w:r>
        <w:t xml:space="preserve">国资平台、品牌开发商、专业运营商、外资基金的持有/运营份额版图：〔D-30〕。</w:t>
      </w:r>
    </w:p>
    <w:p>
      <w:pPr>
        <w:numPr>
          <w:ilvl w:val="0"/>
          <w:numId w:val="1008"/>
        </w:numPr>
        <w:pStyle w:val="Compact"/>
      </w:pPr>
      <w:r>
        <w:t xml:space="preserve">头部运营方市场集中度（CR10）：〔D-31〕。产业园区领域国资运营占比显著高于纯办公。</w:t>
      </w:r>
    </w:p>
    <w:bookmarkEnd w:id="32"/>
    <w:bookmarkStart w:id="33" w:name="近三年新增供应"/>
    <w:p>
      <w:pPr>
        <w:pStyle w:val="Heading3"/>
      </w:pPr>
      <w:r>
        <w:t xml:space="preserve">1.1.5 近三年新增供应</w:t>
      </w:r>
    </w:p>
    <w:p>
      <w:pPr>
        <w:numPr>
          <w:ilvl w:val="0"/>
          <w:numId w:val="1009"/>
        </w:numPr>
        <w:pStyle w:val="Compact"/>
      </w:pPr>
      <w:r>
        <w:t xml:space="preserve">新增供应集中区域：前滩、北外滩、徐汇滨江、临港、大虹桥等新兴板块仍处集中入市期，是核心区空置承压的重要外部变量。〔D-32 新增供应趋势图〕。</w:t>
      </w:r>
    </w:p>
    <w:bookmarkEnd w:id="33"/>
    <w:bookmarkEnd w:id="34"/>
    <w:bookmarkStart w:id="38" w:name="市场供需景气指数与核心指标"/>
    <w:p>
      <w:pPr>
        <w:pStyle w:val="Heading2"/>
      </w:pPr>
      <w:r>
        <w:t xml:space="preserve">1.2 市场供需景气指数与核心指标</w:t>
      </w:r>
    </w:p>
    <w:bookmarkStart w:id="35" w:name="整体租金与空置"/>
    <w:p>
      <w:pPr>
        <w:pStyle w:val="Heading3"/>
      </w:pPr>
      <w:r>
        <w:t xml:space="preserve">1.2.1 整体租金与空置</w:t>
      </w:r>
    </w:p>
    <w:p>
      <w:pPr>
        <w:numPr>
          <w:ilvl w:val="0"/>
          <w:numId w:val="1010"/>
        </w:numPr>
        <w:pStyle w:val="Compact"/>
      </w:pPr>
      <w:r>
        <w:t xml:space="preserve">全市平均报价租金 〔D-07〕元/㎡/天，环比 〔D-33〕、同比 〔D-34〕；招商口径空置率 〔D-11〕%，环比 〔D-35〕。</w:t>
      </w:r>
    </w:p>
    <w:p>
      <w:pPr>
        <w:numPr>
          <w:ilvl w:val="0"/>
          <w:numId w:val="1010"/>
        </w:numPr>
        <w:pStyle w:val="Compact"/>
      </w:pPr>
      <w:r>
        <w:rPr>
          <w:bCs/>
          <w:b/>
        </w:rPr>
        <w:t xml:space="preserve">全成本租金口径</w:t>
      </w:r>
      <w:r>
        <w:t xml:space="preserve">（租金 + 物业费）下，核心区与近郊真实成本差进一步拉大，是企业外迁的直接动因。</w:t>
      </w:r>
    </w:p>
    <w:bookmarkEnd w:id="35"/>
    <w:bookmarkStart w:id="36" w:name="供需剪刀差"/>
    <w:p>
      <w:pPr>
        <w:pStyle w:val="Heading3"/>
      </w:pPr>
      <w:r>
        <w:t xml:space="preserve">1.2.2 供需剪刀差</w:t>
      </w:r>
    </w:p>
    <w:p>
      <w:pPr>
        <w:numPr>
          <w:ilvl w:val="0"/>
          <w:numId w:val="1011"/>
        </w:numPr>
        <w:pStyle w:val="Compact"/>
      </w:pPr>
      <w:r>
        <w:t xml:space="preserve">季度新增供应 〔D-19〕万㎡ vs 净吸纳量 〔D-15〕万㎡，供需剪刀差为 〔D-36〕，指向 〔去化承压/边际改善〕。</w:t>
      </w:r>
    </w:p>
    <w:bookmarkEnd w:id="36"/>
    <w:bookmarkStart w:id="37" w:name="核心市场信号"/>
    <w:p>
      <w:pPr>
        <w:pStyle w:val="Heading3"/>
      </w:pPr>
      <w:r>
        <w:t xml:space="preserve">1.2.3 核心市场信号</w:t>
      </w:r>
    </w:p>
    <w:p>
      <w:pPr>
        <w:numPr>
          <w:ilvl w:val="0"/>
          <w:numId w:val="1012"/>
        </w:numPr>
        <w:pStyle w:val="Compact"/>
      </w:pPr>
      <w:r>
        <w:t xml:space="preserve">大型企业扩租/缩租比 〔D-37〕；大宗交易活跃度 〔D-38〕；续租占比上升通常指示企业”以续代搬”的降本谨慎心态。</w:t>
      </w:r>
    </w:p>
    <w:p>
      <w:pPr>
        <w:numPr>
          <w:ilvl w:val="0"/>
          <w:numId w:val="1012"/>
        </w:numPr>
        <w:pStyle w:val="Compact"/>
      </w:pPr>
      <w:r>
        <w:rPr>
          <w:bCs/>
          <w:b/>
        </w:rPr>
        <w:t xml:space="preserve">图：上海办公市场供需景气指数</w:t>
      </w:r>
      <w:r>
        <w:t xml:space="preserve">（租金 + 空置 + 吸纳 + 净流入合成）。</w:t>
      </w:r>
    </w:p>
    <w:bookmarkEnd w:id="37"/>
    <w:bookmarkEnd w:id="38"/>
    <w:bookmarkStart w:id="39" w:name="市场核心特征总结"/>
    <w:p>
      <w:pPr>
        <w:pStyle w:val="Heading2"/>
      </w:pPr>
      <w:r>
        <w:t xml:space="preserve">1.3 市场核心特征总结</w:t>
      </w:r>
    </w:p>
    <w:p>
      <w:pPr>
        <w:numPr>
          <w:ilvl w:val="0"/>
          <w:numId w:val="1013"/>
        </w:numPr>
        <w:pStyle w:val="Compact"/>
      </w:pPr>
      <w:r>
        <w:rPr>
          <w:bCs/>
          <w:b/>
        </w:rPr>
        <w:t xml:space="preserve">存量主导</w:t>
      </w:r>
      <w:r>
        <w:t xml:space="preserve">：增量开发逻辑退潮，存量盘活与产业赋能成为主线。</w:t>
      </w:r>
    </w:p>
    <w:p>
      <w:pPr>
        <w:numPr>
          <w:ilvl w:val="0"/>
          <w:numId w:val="1013"/>
        </w:numPr>
        <w:pStyle w:val="Compact"/>
      </w:pPr>
      <w:r>
        <w:rPr>
          <w:bCs/>
          <w:b/>
        </w:rPr>
        <w:t xml:space="preserve">结构分化</w:t>
      </w:r>
      <w:r>
        <w:t xml:space="preserve">：核心区甲级承压，产业定位清晰的科创/产业载体韧性更强。</w:t>
      </w:r>
    </w:p>
    <w:p>
      <w:pPr>
        <w:numPr>
          <w:ilvl w:val="0"/>
          <w:numId w:val="1013"/>
        </w:numPr>
        <w:pStyle w:val="Compact"/>
      </w:pPr>
      <w:r>
        <w:rPr>
          <w:bCs/>
          <w:b/>
        </w:rPr>
        <w:t xml:space="preserve">价格真实化</w:t>
      </w:r>
      <w:r>
        <w:t xml:space="preserve">：报价与成交价差走阔，</w:t>
      </w:r>
      <w:r>
        <w:t xml:space="preserve">“</w:t>
      </w:r>
      <w:r>
        <w:t xml:space="preserve">挂牌租金≠成交租金</w:t>
      </w:r>
      <w:r>
        <w:t xml:space="preserve">”</w:t>
      </w:r>
      <w:r>
        <w:t xml:space="preserve">成为研判常识，议价系数模型成为刚需。</w:t>
      </w:r>
    </w:p>
    <w:p>
      <w:pPr>
        <w:numPr>
          <w:ilvl w:val="0"/>
          <w:numId w:val="1013"/>
        </w:numPr>
        <w:pStyle w:val="Compact"/>
      </w:pPr>
      <w:r>
        <w:rPr>
          <w:bCs/>
          <w:b/>
        </w:rPr>
        <w:t xml:space="preserve">需求新旧切换</w:t>
      </w:r>
      <w:r>
        <w:t xml:space="preserve">：传统金融/专业服务需求趋稳或收缩，AI/生物医药/集成电路等新质生产力成为增量发动机。</w:t>
      </w:r>
    </w:p>
    <w:p>
      <w:r>
        <w:pict>
          <v:rect style="width:0;height:1.5pt" o:hralign="center" o:hrstd="t" o:hr="t"/>
        </w:pict>
      </w:r>
    </w:p>
    <w:bookmarkEnd w:id="39"/>
    <w:bookmarkEnd w:id="40"/>
    <w:bookmarkStart w:id="50" w:name="第二章-市场深度解构分区域分物业分行业"/>
    <w:p>
      <w:pPr>
        <w:pStyle w:val="Heading1"/>
      </w:pPr>
      <w:r>
        <w:t xml:space="preserve">第二章 · 市场深度解构：分区域、分物业、分行业</w:t>
      </w:r>
    </w:p>
    <w:bookmarkStart w:id="44" w:name="重点板块市场画像"/>
    <w:p>
      <w:pPr>
        <w:pStyle w:val="Heading2"/>
      </w:pPr>
      <w:r>
        <w:t xml:space="preserve">2.1 重点板块市场画像</w:t>
      </w:r>
    </w:p>
    <w:bookmarkStart w:id="41" w:name="中心城区楼宇经济升级与核心区外溢"/>
    <w:p>
      <w:pPr>
        <w:pStyle w:val="Heading3"/>
      </w:pPr>
      <w:r>
        <w:t xml:space="preserve">2.1.1 中心城区：楼宇经济升级与核心区外溢</w:t>
      </w:r>
    </w:p>
    <w:p>
      <w:pPr>
        <w:numPr>
          <w:ilvl w:val="0"/>
          <w:numId w:val="1014"/>
        </w:numPr>
        <w:pStyle w:val="Compact"/>
      </w:pPr>
      <w:r>
        <w:rPr>
          <w:bCs/>
          <w:b/>
        </w:rPr>
        <w:t xml:space="preserve">黄浦</w:t>
      </w:r>
      <w:r>
        <w:t xml:space="preserve">：传统商务与金融服务高地（外滩金融、人民广场、南京东路），核心矛盾为老旧楼宇更新与租金高位下的外溢；〔D-39 黄浦租金/空置〕。</w:t>
      </w:r>
    </w:p>
    <w:p>
      <w:pPr>
        <w:numPr>
          <w:ilvl w:val="0"/>
          <w:numId w:val="1014"/>
        </w:numPr>
        <w:pStyle w:val="Compact"/>
      </w:pPr>
      <w:r>
        <w:rPr>
          <w:bCs/>
          <w:b/>
        </w:rPr>
        <w:t xml:space="preserve">静安</w:t>
      </w:r>
      <w:r>
        <w:t xml:space="preserve">：高端商务与总部经济（南京西路、苏河湾），外资与专业服务密集；〔D-40〕。</w:t>
      </w:r>
    </w:p>
    <w:p>
      <w:pPr>
        <w:numPr>
          <w:ilvl w:val="0"/>
          <w:numId w:val="1014"/>
        </w:numPr>
        <w:pStyle w:val="Compact"/>
      </w:pPr>
      <w:r>
        <w:rPr>
          <w:bCs/>
          <w:b/>
        </w:rPr>
        <w:t xml:space="preserve">徐汇</w:t>
      </w:r>
      <w:r>
        <w:t xml:space="preserve">：徐汇滨江为 AI、传媒、互联网总部新高地，承接核心区外溢与新经济导入；〔D-41〕。</w:t>
      </w:r>
    </w:p>
    <w:p>
      <w:pPr>
        <w:numPr>
          <w:ilvl w:val="0"/>
          <w:numId w:val="1014"/>
        </w:numPr>
        <w:pStyle w:val="Compact"/>
      </w:pPr>
      <w:r>
        <w:rPr>
          <w:bCs/>
          <w:b/>
        </w:rPr>
        <w:t xml:space="preserve">长宁</w:t>
      </w:r>
      <w:r>
        <w:t xml:space="preserve">：虹桥涉外商务与数字贸易、在线新经济；〔D-42〕。</w:t>
      </w:r>
    </w:p>
    <w:p>
      <w:pPr>
        <w:numPr>
          <w:ilvl w:val="0"/>
          <w:numId w:val="1014"/>
        </w:numPr>
        <w:pStyle w:val="Compact"/>
      </w:pPr>
      <w:r>
        <w:rPr>
          <w:bCs/>
          <w:b/>
        </w:rPr>
        <w:t xml:space="preserve">普陀</w:t>
      </w:r>
      <w:r>
        <w:t xml:space="preserve">：数字经济与城市更新载体（真如、长风）；〔D-43〕。</w:t>
      </w:r>
    </w:p>
    <w:p>
      <w:pPr>
        <w:numPr>
          <w:ilvl w:val="0"/>
          <w:numId w:val="1014"/>
        </w:numPr>
        <w:pStyle w:val="Compact"/>
      </w:pPr>
      <w:r>
        <w:rPr>
          <w:bCs/>
          <w:b/>
        </w:rPr>
        <w:t xml:space="preserve">虹口</w:t>
      </w:r>
      <w:r>
        <w:t xml:space="preserve">：北外滩金融与航运服务，新增供应集中、定位高端；〔D-44〕。</w:t>
      </w:r>
    </w:p>
    <w:p>
      <w:pPr>
        <w:numPr>
          <w:ilvl w:val="0"/>
          <w:numId w:val="1014"/>
        </w:numPr>
        <w:pStyle w:val="Compact"/>
      </w:pPr>
      <w:r>
        <w:rPr>
          <w:bCs/>
          <w:b/>
        </w:rPr>
        <w:t xml:space="preserve">杨浦</w:t>
      </w:r>
      <w:r>
        <w:t xml:space="preserve">：在线新经济、AI 应用与科技服务（大创智、杨浦滨江、五角场），高校资源与人才优势突出；〔D-45〕。</w:t>
      </w:r>
    </w:p>
    <w:bookmarkEnd w:id="41"/>
    <w:bookmarkStart w:id="42" w:name="产业高地供应链需求与复合空间"/>
    <w:p>
      <w:pPr>
        <w:pStyle w:val="Heading3"/>
      </w:pPr>
      <w:r>
        <w:t xml:space="preserve">2.1.2 产业高地：供应链需求与复合空间</w:t>
      </w:r>
    </w:p>
    <w:p>
      <w:pPr>
        <w:numPr>
          <w:ilvl w:val="0"/>
          <w:numId w:val="1015"/>
        </w:numPr>
        <w:pStyle w:val="Compact"/>
      </w:pPr>
      <w:r>
        <w:rPr>
          <w:bCs/>
          <w:b/>
        </w:rPr>
        <w:t xml:space="preserve">浦东张江</w:t>
      </w:r>
      <w:r>
        <w:t xml:space="preserve">：集成电路、生物医药、AI”三足鼎立”，</w:t>
      </w:r>
      <w:r>
        <w:t xml:space="preserve">“</w:t>
      </w:r>
      <w:r>
        <w:t xml:space="preserve">实验室 + 中试 + 办公</w:t>
      </w:r>
      <w:r>
        <w:t xml:space="preserve">”</w:t>
      </w:r>
      <w:r>
        <w:t xml:space="preserve">复合空间需求旺盛，是全市最具确定性的产业需求高地；〔D-46〕。</w:t>
      </w:r>
    </w:p>
    <w:p>
      <w:pPr>
        <w:numPr>
          <w:ilvl w:val="0"/>
          <w:numId w:val="1015"/>
        </w:numPr>
        <w:pStyle w:val="Compact"/>
      </w:pPr>
      <w:r>
        <w:rPr>
          <w:bCs/>
          <w:b/>
        </w:rPr>
        <w:t xml:space="preserve">临港新片区</w:t>
      </w:r>
      <w:r>
        <w:t xml:space="preserve">：高端制造、智能驾驶、国际业务、硬科技导入区，成本与政策双优，承接外溢与重大项目落地；〔D-47〕。</w:t>
      </w:r>
    </w:p>
    <w:p>
      <w:pPr>
        <w:numPr>
          <w:ilvl w:val="0"/>
          <w:numId w:val="1015"/>
        </w:numPr>
        <w:pStyle w:val="Compact"/>
      </w:pPr>
      <w:r>
        <w:rPr>
          <w:bCs/>
          <w:b/>
        </w:rPr>
        <w:t xml:space="preserve">金桥/外高桥</w:t>
      </w:r>
      <w:r>
        <w:t xml:space="preserve">：智能制造、汽车电子、贸易服务；〔D-48〕。</w:t>
      </w:r>
    </w:p>
    <w:bookmarkEnd w:id="42"/>
    <w:bookmarkStart w:id="43" w:name="新兴郊区成本驱动与-tod-商务区"/>
    <w:p>
      <w:pPr>
        <w:pStyle w:val="Heading3"/>
      </w:pPr>
      <w:r>
        <w:t xml:space="preserve">2.1.3 新兴/郊区：成本驱动与 TOD 商务区</w:t>
      </w:r>
    </w:p>
    <w:p>
      <w:pPr>
        <w:numPr>
          <w:ilvl w:val="0"/>
          <w:numId w:val="1016"/>
        </w:numPr>
        <w:pStyle w:val="Compact"/>
      </w:pPr>
      <w:r>
        <w:rPr>
          <w:bCs/>
          <w:b/>
        </w:rPr>
        <w:t xml:space="preserve">大虹桥（闵行/青浦/长宁交界）</w:t>
      </w:r>
      <w:r>
        <w:t xml:space="preserve">：总部经济、会展、数字贸易，TOD 模式商务区快速成型；〔D-49〕。</w:t>
      </w:r>
    </w:p>
    <w:p>
      <w:pPr>
        <w:numPr>
          <w:ilvl w:val="0"/>
          <w:numId w:val="1016"/>
        </w:numPr>
        <w:pStyle w:val="Compact"/>
      </w:pPr>
      <w:r>
        <w:rPr>
          <w:bCs/>
          <w:b/>
        </w:rPr>
        <w:t xml:space="preserve">漕河泾/紫竹（徐汇/闵行）</w:t>
      </w:r>
      <w:r>
        <w:t xml:space="preserve">：成熟科技园，TMT、集成电路、生命健康集聚；〔D-50〕。</w:t>
      </w:r>
    </w:p>
    <w:p>
      <w:pPr>
        <w:numPr>
          <w:ilvl w:val="0"/>
          <w:numId w:val="1016"/>
        </w:numPr>
        <w:pStyle w:val="Compact"/>
      </w:pPr>
      <w:r>
        <w:rPr>
          <w:bCs/>
          <w:b/>
        </w:rPr>
        <w:t xml:space="preserve">G60 松江、嘉定汽车城、青浦西虹桥、宝山南大、奉贤东方美谷</w:t>
      </w:r>
      <w:r>
        <w:t xml:space="preserve">：分别对应先进制造、智能汽车、数字贸易、新材料/智慧城市、美丽健康产业，成本驱动型企业的主要承接地；〔D-51〕。</w:t>
      </w:r>
    </w:p>
    <w:bookmarkEnd w:id="43"/>
    <w:bookmarkEnd w:id="44"/>
    <w:bookmarkStart w:id="48" w:name="需求端深度画像谁在租要什么"/>
    <w:p>
      <w:pPr>
        <w:pStyle w:val="Heading2"/>
      </w:pPr>
      <w:r>
        <w:t xml:space="preserve">2.2 需求端深度画像：谁在租？要什么？</w:t>
      </w:r>
    </w:p>
    <w:bookmarkStart w:id="45" w:name="主导产业空间需求图谱"/>
    <w:p>
      <w:pPr>
        <w:pStyle w:val="Heading3"/>
      </w:pPr>
      <w:r>
        <w:t xml:space="preserve">2.2.1 主导产业空间需求图谱</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行业</w:t>
            </w:r>
          </w:p>
        </w:tc>
        <w:tc>
          <w:tcPr/>
          <w:p>
            <w:pPr>
              <w:pStyle w:val="Compact"/>
              <w:jc w:val="left"/>
            </w:pPr>
            <w:r>
              <w:t xml:space="preserve">典型面积段</w:t>
            </w:r>
          </w:p>
        </w:tc>
        <w:tc>
          <w:tcPr/>
          <w:p>
            <w:pPr>
              <w:pStyle w:val="Compact"/>
              <w:jc w:val="left"/>
            </w:pPr>
            <w:r>
              <w:t xml:space="preserve">租金承受力</w:t>
            </w:r>
          </w:p>
        </w:tc>
        <w:tc>
          <w:tcPr/>
          <w:p>
            <w:pPr>
              <w:pStyle w:val="Compact"/>
              <w:jc w:val="left"/>
            </w:pPr>
            <w:r>
              <w:t xml:space="preserve">选址偏好</w:t>
            </w:r>
          </w:p>
        </w:tc>
        <w:tc>
          <w:tcPr/>
          <w:p>
            <w:pPr>
              <w:pStyle w:val="Compact"/>
              <w:jc w:val="left"/>
            </w:pPr>
            <w:r>
              <w:t xml:space="preserve">核心配套需求</w:t>
            </w:r>
          </w:p>
        </w:tc>
      </w:tr>
      <w:tr>
        <w:tc>
          <w:tcPr/>
          <w:p>
            <w:pPr>
              <w:pStyle w:val="Compact"/>
              <w:jc w:val="left"/>
            </w:pPr>
            <w:r>
              <w:t xml:space="preserve">金融/金融科技</w:t>
            </w:r>
          </w:p>
        </w:tc>
        <w:tc>
          <w:tcPr/>
          <w:p>
            <w:pPr>
              <w:pStyle w:val="Compact"/>
              <w:jc w:val="left"/>
            </w:pPr>
            <w:r>
              <w:t xml:space="preserve">中—大型/整层—总部</w:t>
            </w:r>
          </w:p>
        </w:tc>
        <w:tc>
          <w:tcPr/>
          <w:p>
            <w:pPr>
              <w:pStyle w:val="Compact"/>
              <w:jc w:val="left"/>
            </w:pPr>
            <w:r>
              <w:t xml:space="preserve">高</w:t>
            </w:r>
          </w:p>
        </w:tc>
        <w:tc>
          <w:tcPr/>
          <w:p>
            <w:pPr>
              <w:pStyle w:val="Compact"/>
              <w:jc w:val="left"/>
            </w:pPr>
            <w:r>
              <w:t xml:space="preserve">陆家嘴、外滩、前滩、北外滩</w:t>
            </w:r>
          </w:p>
        </w:tc>
        <w:tc>
          <w:tcPr/>
          <w:p>
            <w:pPr>
              <w:pStyle w:val="Compact"/>
              <w:jc w:val="left"/>
            </w:pPr>
            <w:r>
              <w:t xml:space="preserve">品牌形象、监管环境、客户可达</w:t>
            </w:r>
          </w:p>
        </w:tc>
      </w:tr>
      <w:tr>
        <w:tc>
          <w:tcPr/>
          <w:p>
            <w:pPr>
              <w:pStyle w:val="Compact"/>
              <w:jc w:val="left"/>
            </w:pPr>
            <w:r>
              <w:t xml:space="preserve">专业服务（法律/咨询/会计）</w:t>
            </w:r>
          </w:p>
        </w:tc>
        <w:tc>
          <w:tcPr/>
          <w:p>
            <w:pPr>
              <w:pStyle w:val="Compact"/>
              <w:jc w:val="left"/>
            </w:pPr>
            <w:r>
              <w:t xml:space="preserve">中小型</w:t>
            </w:r>
          </w:p>
        </w:tc>
        <w:tc>
          <w:tcPr/>
          <w:p>
            <w:pPr>
              <w:pStyle w:val="Compact"/>
              <w:jc w:val="left"/>
            </w:pPr>
            <w:r>
              <w:t xml:space="preserve">高</w:t>
            </w:r>
          </w:p>
        </w:tc>
        <w:tc>
          <w:tcPr/>
          <w:p>
            <w:pPr>
              <w:pStyle w:val="Compact"/>
              <w:jc w:val="left"/>
            </w:pPr>
            <w:r>
              <w:t xml:space="preserve">核心商务区</w:t>
            </w:r>
          </w:p>
        </w:tc>
        <w:tc>
          <w:tcPr/>
          <w:p>
            <w:pPr>
              <w:pStyle w:val="Compact"/>
              <w:jc w:val="left"/>
            </w:pPr>
            <w:r>
              <w:t xml:space="preserve">客户可达性、商务氛围</w:t>
            </w:r>
          </w:p>
        </w:tc>
      </w:tr>
      <w:tr>
        <w:tc>
          <w:tcPr/>
          <w:p>
            <w:pPr>
              <w:pStyle w:val="Compact"/>
              <w:jc w:val="left"/>
            </w:pPr>
            <w:r>
              <w:t xml:space="preserve">TMT / AI / 互联网</w:t>
            </w:r>
          </w:p>
        </w:tc>
        <w:tc>
          <w:tcPr/>
          <w:p>
            <w:pPr>
              <w:pStyle w:val="Compact"/>
              <w:jc w:val="left"/>
            </w:pPr>
            <w:r>
              <w:t xml:space="preserve">中—大型</w:t>
            </w:r>
          </w:p>
        </w:tc>
        <w:tc>
          <w:tcPr/>
          <w:p>
            <w:pPr>
              <w:pStyle w:val="Compact"/>
              <w:jc w:val="left"/>
            </w:pPr>
            <w:r>
              <w:t xml:space="preserve">中—高</w:t>
            </w:r>
          </w:p>
        </w:tc>
        <w:tc>
          <w:tcPr/>
          <w:p>
            <w:pPr>
              <w:pStyle w:val="Compact"/>
              <w:jc w:val="left"/>
            </w:pPr>
            <w:r>
              <w:t xml:space="preserve">徐汇滨江、杨浦、张江、漕河泾</w:t>
            </w:r>
          </w:p>
        </w:tc>
        <w:tc>
          <w:tcPr/>
          <w:p>
            <w:pPr>
              <w:pStyle w:val="Compact"/>
              <w:jc w:val="left"/>
            </w:pPr>
            <w:r>
              <w:t xml:space="preserve">算力邻近、人才、投资机构</w:t>
            </w:r>
          </w:p>
        </w:tc>
      </w:tr>
      <w:tr>
        <w:tc>
          <w:tcPr/>
          <w:p>
            <w:pPr>
              <w:pStyle w:val="Compact"/>
              <w:jc w:val="left"/>
            </w:pPr>
            <w:r>
              <w:t xml:space="preserve">生物医药</w:t>
            </w:r>
          </w:p>
        </w:tc>
        <w:tc>
          <w:tcPr/>
          <w:p>
            <w:pPr>
              <w:pStyle w:val="Compact"/>
              <w:jc w:val="left"/>
            </w:pPr>
            <w:r>
              <w:t xml:space="preserve">中—大型</w:t>
            </w:r>
          </w:p>
        </w:tc>
        <w:tc>
          <w:tcPr/>
          <w:p>
            <w:pPr>
              <w:pStyle w:val="Compact"/>
              <w:jc w:val="left"/>
            </w:pPr>
            <w:r>
              <w:t xml:space="preserve">中</w:t>
            </w:r>
          </w:p>
        </w:tc>
        <w:tc>
          <w:tcPr/>
          <w:p>
            <w:pPr>
              <w:pStyle w:val="Compact"/>
              <w:jc w:val="left"/>
            </w:pPr>
            <w:r>
              <w:t xml:space="preserve">张江、临港、闵行、奉贤</w:t>
            </w:r>
          </w:p>
        </w:tc>
        <w:tc>
          <w:tcPr/>
          <w:p>
            <w:pPr>
              <w:pStyle w:val="Compact"/>
              <w:jc w:val="left"/>
            </w:pPr>
            <w:r>
              <w:t xml:space="preserve">实验室、环评、GMP、注册政策</w:t>
            </w:r>
          </w:p>
        </w:tc>
      </w:tr>
      <w:tr>
        <w:tc>
          <w:tcPr/>
          <w:p>
            <w:pPr>
              <w:pStyle w:val="Compact"/>
              <w:jc w:val="left"/>
            </w:pPr>
            <w:r>
              <w:t xml:space="preserve">集成电路/半导体</w:t>
            </w:r>
          </w:p>
        </w:tc>
        <w:tc>
          <w:tcPr/>
          <w:p>
            <w:pPr>
              <w:pStyle w:val="Compact"/>
              <w:jc w:val="left"/>
            </w:pPr>
            <w:r>
              <w:t xml:space="preserve">中—大型</w:t>
            </w:r>
          </w:p>
        </w:tc>
        <w:tc>
          <w:tcPr/>
          <w:p>
            <w:pPr>
              <w:pStyle w:val="Compact"/>
              <w:jc w:val="left"/>
            </w:pPr>
            <w:r>
              <w:t xml:space="preserve">中—高</w:t>
            </w:r>
          </w:p>
        </w:tc>
        <w:tc>
          <w:tcPr/>
          <w:p>
            <w:pPr>
              <w:pStyle w:val="Compact"/>
              <w:jc w:val="left"/>
            </w:pPr>
            <w:r>
              <w:t xml:space="preserve">张江、临港、漕河泾</w:t>
            </w:r>
          </w:p>
        </w:tc>
        <w:tc>
          <w:tcPr/>
          <w:p>
            <w:pPr>
              <w:pStyle w:val="Compact"/>
              <w:jc w:val="left"/>
            </w:pPr>
            <w:r>
              <w:t xml:space="preserve">洁净空间、供应链、政策</w:t>
            </w:r>
          </w:p>
        </w:tc>
      </w:tr>
      <w:tr>
        <w:tc>
          <w:tcPr/>
          <w:p>
            <w:pPr>
              <w:pStyle w:val="Compact"/>
              <w:jc w:val="left"/>
            </w:pPr>
            <w:r>
              <w:t xml:space="preserve">高端制造/智能驾驶</w:t>
            </w:r>
          </w:p>
        </w:tc>
        <w:tc>
          <w:tcPr/>
          <w:p>
            <w:pPr>
              <w:pStyle w:val="Compact"/>
              <w:jc w:val="left"/>
            </w:pPr>
            <w:r>
              <w:t xml:space="preserve">大型/厂办结合</w:t>
            </w:r>
          </w:p>
        </w:tc>
        <w:tc>
          <w:tcPr/>
          <w:p>
            <w:pPr>
              <w:pStyle w:val="Compact"/>
              <w:jc w:val="left"/>
            </w:pPr>
            <w:r>
              <w:t xml:space="preserve">中—低</w:t>
            </w:r>
          </w:p>
        </w:tc>
        <w:tc>
          <w:tcPr/>
          <w:p>
            <w:pPr>
              <w:pStyle w:val="Compact"/>
              <w:jc w:val="left"/>
            </w:pPr>
            <w:r>
              <w:t xml:space="preserve">嘉定、临港、金桥、松江</w:t>
            </w:r>
          </w:p>
        </w:tc>
        <w:tc>
          <w:tcPr/>
          <w:p>
            <w:pPr>
              <w:pStyle w:val="Compact"/>
              <w:jc w:val="left"/>
            </w:pPr>
            <w:r>
              <w:t xml:space="preserve">厂办一体、物流、测试场景</w:t>
            </w:r>
          </w:p>
        </w:tc>
      </w:tr>
      <w:tr>
        <w:tc>
          <w:tcPr/>
          <w:p>
            <w:pPr>
              <w:pStyle w:val="Compact"/>
              <w:jc w:val="left"/>
            </w:pPr>
            <w:r>
              <w:t xml:space="preserve">现代/生产性服务业</w:t>
            </w:r>
          </w:p>
        </w:tc>
        <w:tc>
          <w:tcPr/>
          <w:p>
            <w:pPr>
              <w:pStyle w:val="Compact"/>
              <w:jc w:val="left"/>
            </w:pPr>
            <w:r>
              <w:t xml:space="preserve">中小—中型</w:t>
            </w:r>
          </w:p>
        </w:tc>
        <w:tc>
          <w:tcPr/>
          <w:p>
            <w:pPr>
              <w:pStyle w:val="Compact"/>
              <w:jc w:val="left"/>
            </w:pPr>
            <w:r>
              <w:t xml:space="preserve">中</w:t>
            </w:r>
          </w:p>
        </w:tc>
        <w:tc>
          <w:tcPr/>
          <w:p>
            <w:pPr>
              <w:pStyle w:val="Compact"/>
              <w:jc w:val="left"/>
            </w:pPr>
            <w:r>
              <w:t xml:space="preserve">全域近郊产业园</w:t>
            </w:r>
          </w:p>
        </w:tc>
        <w:tc>
          <w:tcPr/>
          <w:p>
            <w:pPr>
              <w:pStyle w:val="Compact"/>
              <w:jc w:val="left"/>
            </w:pPr>
            <w:r>
              <w:t xml:space="preserve">成本、灵活性、企业服务</w:t>
            </w:r>
          </w:p>
        </w:tc>
      </w:tr>
    </w:tbl>
    <w:p>
      <w:pPr>
        <w:pStyle w:val="BlockText"/>
      </w:pPr>
      <w:r>
        <w:t xml:space="preserve">数据回填：各行业实际平均面积、平均成交租金、TOP 选址街道由 ③ 企业入驻库 + ② 租金库联合计算。</w:t>
      </w:r>
    </w:p>
    <w:bookmarkEnd w:id="45"/>
    <w:bookmarkStart w:id="46" w:name="企业全生命周期空间需求"/>
    <w:p>
      <w:pPr>
        <w:pStyle w:val="Heading3"/>
      </w:pPr>
      <w:r>
        <w:t xml:space="preserve">2.2.2 企业全生命周期空间需求</w:t>
      </w:r>
    </w:p>
    <w:p>
      <w:pPr>
        <w:numPr>
          <w:ilvl w:val="0"/>
          <w:numId w:val="1017"/>
        </w:numPr>
        <w:pStyle w:val="Compact"/>
      </w:pPr>
      <w:r>
        <w:rPr>
          <w:bCs/>
          <w:b/>
        </w:rPr>
        <w:t xml:space="preserve">初创期</w:t>
      </w:r>
      <w:r>
        <w:t xml:space="preserve">：孵化器 / 众创空间 / 共享办公，面积小、租期短、对成本与服务高度敏感。</w:t>
      </w:r>
    </w:p>
    <w:p>
      <w:pPr>
        <w:numPr>
          <w:ilvl w:val="0"/>
          <w:numId w:val="1017"/>
        </w:numPr>
        <w:pStyle w:val="Compact"/>
      </w:pPr>
      <w:r>
        <w:rPr>
          <w:bCs/>
          <w:b/>
        </w:rPr>
        <w:t xml:space="preserve">成长期</w:t>
      </w:r>
      <w:r>
        <w:t xml:space="preserve">：产业园 / 乙级整层 / 独栋，关注政策、扩展弹性与产业生态。</w:t>
      </w:r>
    </w:p>
    <w:p>
      <w:pPr>
        <w:numPr>
          <w:ilvl w:val="0"/>
          <w:numId w:val="1017"/>
        </w:numPr>
        <w:pStyle w:val="Compact"/>
      </w:pPr>
      <w:r>
        <w:rPr>
          <w:bCs/>
          <w:b/>
        </w:rPr>
        <w:t xml:space="preserve">成熟期</w:t>
      </w:r>
      <w:r>
        <w:t xml:space="preserve">：甲级 / 总部 / 定制化，关注品牌、资源链接与运营效率。</w:t>
      </w:r>
    </w:p>
    <w:p>
      <w:pPr>
        <w:numPr>
          <w:ilvl w:val="0"/>
          <w:numId w:val="1017"/>
        </w:numPr>
        <w:pStyle w:val="Compact"/>
      </w:pPr>
      <w:r>
        <w:rPr>
          <w:bCs/>
          <w:b/>
        </w:rPr>
        <w:t xml:space="preserve">图：企业—空间匹配模型</w:t>
      </w:r>
      <w:r>
        <w:t xml:space="preserve">（生命周期 × 产品类型 × 区域）。</w:t>
      </w:r>
    </w:p>
    <w:bookmarkEnd w:id="46"/>
    <w:bookmarkStart w:id="47" w:name="选址逻辑演变与需求侧痛点"/>
    <w:p>
      <w:pPr>
        <w:pStyle w:val="Heading3"/>
      </w:pPr>
      <w:r>
        <w:t xml:space="preserve">2.2.3 选址逻辑演变与需求侧痛点</w:t>
      </w:r>
    </w:p>
    <w:p>
      <w:pPr>
        <w:numPr>
          <w:ilvl w:val="0"/>
          <w:numId w:val="1018"/>
        </w:numPr>
        <w:pStyle w:val="Compact"/>
      </w:pPr>
      <w:r>
        <w:t xml:space="preserve">逻辑演变：地标圈层优先 → 综合成本 × 产业协同 × 政策 × 通勤 × 灵活性 × 服务。</w:t>
      </w:r>
    </w:p>
    <w:p>
      <w:pPr>
        <w:numPr>
          <w:ilvl w:val="0"/>
          <w:numId w:val="1018"/>
        </w:numPr>
        <w:pStyle w:val="Compact"/>
      </w:pPr>
      <w:r>
        <w:t xml:space="preserve">痛点：空间灵活性不足、产业配套（中试/实验室/算力）缺失、政策兑现不确定、综合成本偏高。</w:t>
      </w:r>
    </w:p>
    <w:bookmarkEnd w:id="47"/>
    <w:bookmarkEnd w:id="48"/>
    <w:bookmarkStart w:id="49" w:name="供给端分化诊断谁好租谁危险"/>
    <w:p>
      <w:pPr>
        <w:pStyle w:val="Heading2"/>
      </w:pPr>
      <w:r>
        <w:t xml:space="preserve">2.3 供给端分化诊断：谁好租？谁危险？</w:t>
      </w:r>
    </w:p>
    <w:p>
      <w:pPr>
        <w:numPr>
          <w:ilvl w:val="0"/>
          <w:numId w:val="1019"/>
        </w:numPr>
        <w:pStyle w:val="Compact"/>
      </w:pPr>
      <w:r>
        <w:rPr>
          <w:bCs/>
          <w:b/>
        </w:rPr>
        <w:t xml:space="preserve">租金—空置分化图谱</w:t>
      </w:r>
      <w:r>
        <w:t xml:space="preserve">：按”超甲 vs 乙级”</w:t>
      </w:r>
      <w:r>
        <w:t xml:space="preserve">“</w:t>
      </w:r>
      <w:r>
        <w:t xml:space="preserve">核心区产业园 vs 远郊产业园</w:t>
      </w:r>
      <w:r>
        <w:t xml:space="preserve">”</w:t>
      </w:r>
      <w:r>
        <w:t xml:space="preserve">绘制四象限；〔D-52〕。</w:t>
      </w:r>
    </w:p>
    <w:p>
      <w:pPr>
        <w:numPr>
          <w:ilvl w:val="0"/>
          <w:numId w:val="1019"/>
        </w:numPr>
        <w:pStyle w:val="Compact"/>
      </w:pPr>
      <w:r>
        <w:rPr>
          <w:bCs/>
          <w:b/>
        </w:rPr>
        <w:t xml:space="preserve">高空置风险预警</w:t>
      </w:r>
      <w:r>
        <w:t xml:space="preserve">：新增供应集中 + 产业定位模糊 + 老旧物业集中的板块/物业类型；〔D-53 预警清单〕。</w:t>
      </w:r>
    </w:p>
    <w:p>
      <w:pPr>
        <w:numPr>
          <w:ilvl w:val="0"/>
          <w:numId w:val="1019"/>
        </w:numPr>
        <w:pStyle w:val="Compact"/>
      </w:pPr>
      <w:r>
        <w:rPr>
          <w:bCs/>
          <w:b/>
        </w:rPr>
        <w:t xml:space="preserve">“</w:t>
      </w:r>
      <w:r>
        <w:rPr>
          <w:bCs/>
          <w:b/>
        </w:rPr>
        <w:t xml:space="preserve">抗跌</w:t>
      </w:r>
      <w:r>
        <w:rPr>
          <w:bCs/>
          <w:b/>
        </w:rPr>
        <w:t xml:space="preserve">”</w:t>
      </w:r>
      <w:r>
        <w:rPr>
          <w:bCs/>
          <w:b/>
        </w:rPr>
        <w:t xml:space="preserve">资产特征归纳</w:t>
      </w:r>
      <w:r>
        <w:t xml:space="preserve">：产业定位清晰、运营服务强、租户结构优质、TOD 区位、政策资源充足。</w:t>
      </w:r>
    </w:p>
    <w:p>
      <w:r>
        <w:pict>
          <v:rect style="width:0;height:1.5pt" o:hralign="center" o:hrstd="t" o:hr="t"/>
        </w:pict>
      </w:r>
    </w:p>
    <w:bookmarkEnd w:id="49"/>
    <w:bookmarkEnd w:id="50"/>
    <w:bookmarkStart w:id="55" w:name="第三章-动态趋势研判企业迁徙与产业流动"/>
    <w:p>
      <w:pPr>
        <w:pStyle w:val="Heading1"/>
      </w:pPr>
      <w:r>
        <w:t xml:space="preserve">第三章 · 动态趋势研判：企业迁徙与产业流动</w:t>
      </w:r>
    </w:p>
    <w:p>
      <w:pPr>
        <w:pStyle w:val="BlockText"/>
      </w:pPr>
      <w:r>
        <w:t xml:space="preserve">本章为本报告相对传统五大行研究的核心差异化模块，依托 ④ 企业迁徙库（工商变更 + 招聘地址 + 新闻多源交叉）实现企业级迁徙追踪。</w:t>
      </w:r>
    </w:p>
    <w:bookmarkStart w:id="51" w:name="企业迁徙热力图与核心流向"/>
    <w:p>
      <w:pPr>
        <w:pStyle w:val="Heading2"/>
      </w:pPr>
      <w:r>
        <w:t xml:space="preserve">3.1 企业迁徙热力图与核心流向</w:t>
      </w:r>
    </w:p>
    <w:p>
      <w:pPr>
        <w:numPr>
          <w:ilvl w:val="0"/>
          <w:numId w:val="1020"/>
        </w:numPr>
        <w:pStyle w:val="Compact"/>
      </w:pPr>
      <w:r>
        <w:rPr>
          <w:bCs/>
          <w:b/>
        </w:rPr>
        <w:t xml:space="preserve">全域迁徙规模</w:t>
      </w:r>
      <w:r>
        <w:t xml:space="preserve">：报告期内识别有效迁徙事件 〔D-54〕起（≥2 信号交叉确认）。</w:t>
      </w:r>
    </w:p>
    <w:p>
      <w:pPr>
        <w:numPr>
          <w:ilvl w:val="0"/>
          <w:numId w:val="1020"/>
        </w:numPr>
        <w:pStyle w:val="Compact"/>
      </w:pPr>
      <w:r>
        <w:rPr>
          <w:bCs/>
          <w:b/>
        </w:rPr>
        <w:t xml:space="preserve">主导方向</w:t>
      </w:r>
      <w:r>
        <w:t xml:space="preserve">：核心 CBD → 非核心商务区/产业园的”降本外溢”，与郊区 → 功能区的”集聚导入”并存。</w:t>
      </w:r>
    </w:p>
    <w:p>
      <w:pPr>
        <w:numPr>
          <w:ilvl w:val="0"/>
          <w:numId w:val="1020"/>
        </w:numPr>
        <w:pStyle w:val="Compact"/>
      </w:pPr>
      <w:r>
        <w:rPr>
          <w:bCs/>
          <w:b/>
        </w:rPr>
        <w:t xml:space="preserve">净流入/流出 TOP10 街道</w:t>
      </w:r>
      <w:r>
        <w:t xml:space="preserve">：〔D-55 榜单〕。</w:t>
      </w:r>
    </w:p>
    <w:p>
      <w:pPr>
        <w:numPr>
          <w:ilvl w:val="0"/>
          <w:numId w:val="1020"/>
        </w:numPr>
        <w:pStyle w:val="Compact"/>
      </w:pPr>
      <w:r>
        <w:rPr>
          <w:bCs/>
          <w:b/>
        </w:rPr>
        <w:t xml:space="preserve">图：企业迁徙桑基（Sankey）流向图</w:t>
      </w:r>
      <w:r>
        <w:t xml:space="preserve"> </w:t>
      </w:r>
      <w:r>
        <w:t xml:space="preserve">+ 街道级净流入热力图。</w:t>
      </w:r>
    </w:p>
    <w:bookmarkEnd w:id="51"/>
    <w:bookmarkStart w:id="52" w:name="产业集聚与扩散规律"/>
    <w:p>
      <w:pPr>
        <w:pStyle w:val="Heading2"/>
      </w:pPr>
      <w:r>
        <w:t xml:space="preserve">3.2 产业集聚与扩散规律</w:t>
      </w:r>
    </w:p>
    <w:p>
      <w:pPr>
        <w:numPr>
          <w:ilvl w:val="0"/>
          <w:numId w:val="1021"/>
        </w:numPr>
        <w:pStyle w:val="Compact"/>
      </w:pPr>
      <w:r>
        <w:rPr>
          <w:bCs/>
          <w:b/>
        </w:rPr>
        <w:t xml:space="preserve">核心产业走廊识别</w:t>
      </w:r>
      <w:r>
        <w:t xml:space="preserve">：</w:t>
      </w:r>
    </w:p>
    <w:p>
      <w:pPr>
        <w:numPr>
          <w:ilvl w:val="1"/>
          <w:numId w:val="1022"/>
        </w:numPr>
        <w:pStyle w:val="Compact"/>
      </w:pPr>
      <w:r>
        <w:t xml:space="preserve">生物医药：</w:t>
      </w:r>
      <w:r>
        <w:t xml:space="preserve">“</w:t>
      </w:r>
      <w:r>
        <w:t xml:space="preserve">张江—金桥—外高桥</w:t>
      </w:r>
      <w:r>
        <w:t xml:space="preserve">”</w:t>
      </w:r>
      <w:r>
        <w:t xml:space="preserve">及向临港、奉贤扩散；</w:t>
      </w:r>
    </w:p>
    <w:p>
      <w:pPr>
        <w:numPr>
          <w:ilvl w:val="1"/>
          <w:numId w:val="1022"/>
        </w:numPr>
        <w:pStyle w:val="Compact"/>
      </w:pPr>
      <w:r>
        <w:t xml:space="preserve">集成电路：张江—临港—漕河泾轴线；</w:t>
      </w:r>
    </w:p>
    <w:p>
      <w:pPr>
        <w:numPr>
          <w:ilvl w:val="1"/>
          <w:numId w:val="1022"/>
        </w:numPr>
        <w:pStyle w:val="Compact"/>
      </w:pPr>
      <w:r>
        <w:t xml:space="preserve">AI/数字经济：徐汇滨江—杨浦—张江三角；</w:t>
      </w:r>
    </w:p>
    <w:p>
      <w:pPr>
        <w:numPr>
          <w:ilvl w:val="1"/>
          <w:numId w:val="1022"/>
        </w:numPr>
        <w:pStyle w:val="Compact"/>
      </w:pPr>
      <w:r>
        <w:t xml:space="preserve">智能汽车：嘉定—临港—金桥。</w:t>
      </w:r>
    </w:p>
    <w:p>
      <w:pPr>
        <w:numPr>
          <w:ilvl w:val="0"/>
          <w:numId w:val="1021"/>
        </w:numPr>
        <w:pStyle w:val="Compact"/>
      </w:pPr>
      <w:r>
        <w:rPr>
          <w:bCs/>
          <w:b/>
        </w:rPr>
        <w:t xml:space="preserve">外溢接收地 vs 流失地</w:t>
      </w:r>
      <w:r>
        <w:t xml:space="preserve">特征对比：〔D-56〕。</w:t>
      </w:r>
    </w:p>
    <w:bookmarkEnd w:id="52"/>
    <w:bookmarkStart w:id="53" w:name="区域吸引力归因分析"/>
    <w:p>
      <w:pPr>
        <w:pStyle w:val="Heading2"/>
      </w:pPr>
      <w:r>
        <w:t xml:space="preserve">3.3 区域吸引力归因分析</w:t>
      </w:r>
    </w:p>
    <w:p>
      <w:pPr>
        <w:numPr>
          <w:ilvl w:val="0"/>
          <w:numId w:val="1023"/>
        </w:numPr>
        <w:pStyle w:val="Compact"/>
      </w:pPr>
      <w:r>
        <w:rPr>
          <w:bCs/>
          <w:b/>
        </w:rPr>
        <w:t xml:space="preserve">区域吸引力指数</w:t>
      </w:r>
      <w:r>
        <w:t xml:space="preserve">（合成：企业净流入、重点产业流入、租金性价比、政策强度、交通、配套、人才）：〔D-57 排名〕。</w:t>
      </w:r>
    </w:p>
    <w:p>
      <w:pPr>
        <w:numPr>
          <w:ilvl w:val="0"/>
          <w:numId w:val="1023"/>
        </w:numPr>
        <w:pStyle w:val="Compact"/>
      </w:pPr>
      <w:r>
        <w:t xml:space="preserve">高吸引力板块成因：性价比 + 政策 + 产业生态 + 通勤可达；高流失风险板块成因：租金竞争力不足 + 产业定位模糊 + 老旧物业集中。</w:t>
      </w:r>
    </w:p>
    <w:bookmarkEnd w:id="53"/>
    <w:bookmarkStart w:id="54" w:name="迁徙市场信号解读"/>
    <w:p>
      <w:pPr>
        <w:pStyle w:val="Heading2"/>
      </w:pPr>
      <w:r>
        <w:t xml:space="preserve">3.4 迁徙市场信号解读</w:t>
      </w:r>
    </w:p>
    <w:p>
      <w:pPr>
        <w:numPr>
          <w:ilvl w:val="0"/>
          <w:numId w:val="1024"/>
        </w:numPr>
        <w:pStyle w:val="Compact"/>
      </w:pPr>
      <w:r>
        <w:rPr>
          <w:bCs/>
          <w:b/>
        </w:rPr>
        <w:t xml:space="preserve">降本选址</w:t>
      </w:r>
      <w:r>
        <w:t xml:space="preserve">：成本敏感型企业向近郊产业园/乙级载体迁移；</w:t>
      </w:r>
    </w:p>
    <w:p>
      <w:pPr>
        <w:numPr>
          <w:ilvl w:val="0"/>
          <w:numId w:val="1024"/>
        </w:numPr>
        <w:pStyle w:val="Compact"/>
      </w:pPr>
      <w:r>
        <w:rPr>
          <w:bCs/>
          <w:b/>
        </w:rPr>
        <w:t xml:space="preserve">产业升级</w:t>
      </w:r>
      <w:r>
        <w:t xml:space="preserve">：硬科技企业向”产业社区 + 研发 + 办公 + 服务”复合空间迁移；</w:t>
      </w:r>
    </w:p>
    <w:p>
      <w:pPr>
        <w:numPr>
          <w:ilvl w:val="0"/>
          <w:numId w:val="1024"/>
        </w:numPr>
        <w:pStyle w:val="Compact"/>
      </w:pPr>
      <w:r>
        <w:rPr>
          <w:bCs/>
          <w:b/>
        </w:rPr>
        <w:t xml:space="preserve">核心区外溢</w:t>
      </w:r>
      <w:r>
        <w:t xml:space="preserve">：核心区功能（如后台、研发）向滨江/产业高地疏解，总部/展示功能保留核心区。</w:t>
      </w:r>
    </w:p>
    <w:p>
      <w:r>
        <w:pict>
          <v:rect style="width:0;height:1.5pt" o:hralign="center" o:hrstd="t" o:hr="t"/>
        </w:pict>
      </w:r>
    </w:p>
    <w:bookmarkEnd w:id="54"/>
    <w:bookmarkEnd w:id="55"/>
    <w:bookmarkStart w:id="60" w:name="第四章-供需匹配实战落地从诊断到线索"/>
    <w:p>
      <w:pPr>
        <w:pStyle w:val="Heading1"/>
      </w:pPr>
      <w:r>
        <w:t xml:space="preserve">第四章 · 供需匹配实战落地：从诊断到线索</w:t>
      </w:r>
    </w:p>
    <w:bookmarkStart w:id="56" w:name="区域供需匹配度诊断"/>
    <w:p>
      <w:pPr>
        <w:pStyle w:val="Heading2"/>
      </w:pPr>
      <w:r>
        <w:t xml:space="preserve">4.1 区域供需匹配度诊断</w:t>
      </w:r>
    </w:p>
    <w:p>
      <w:pPr>
        <w:numPr>
          <w:ilvl w:val="0"/>
          <w:numId w:val="1025"/>
        </w:numPr>
        <w:pStyle w:val="Compact"/>
      </w:pPr>
      <w:r>
        <w:rPr>
          <w:bCs/>
          <w:b/>
        </w:rPr>
        <w:t xml:space="preserve">匹配度评分</w:t>
      </w:r>
      <w:r>
        <w:t xml:space="preserve">：以”供给结构（各面积段/产品类型占比）</w:t>
      </w:r>
      <w:r>
        <w:t xml:space="preserve">“</w:t>
      </w:r>
      <w:r>
        <w:t xml:space="preserve">与</w:t>
      </w:r>
      <w:r>
        <w:t xml:space="preserve">”</w:t>
      </w:r>
      <w:r>
        <w:t xml:space="preserve">需求结构（企业面积段/产业属性需求）“的余弦相似度 + 产业适配度合成；〔D-58 各板块评分〕。</w:t>
      </w:r>
    </w:p>
    <w:p>
      <w:pPr>
        <w:numPr>
          <w:ilvl w:val="0"/>
          <w:numId w:val="1025"/>
        </w:numPr>
        <w:pStyle w:val="Compact"/>
      </w:pPr>
      <w:r>
        <w:rPr>
          <w:bCs/>
          <w:b/>
        </w:rPr>
        <w:t xml:space="preserve">典型错配识别</w:t>
      </w:r>
      <w:r>
        <w:t xml:space="preserve">：</w:t>
      </w:r>
    </w:p>
    <w:p>
      <w:pPr>
        <w:numPr>
          <w:ilvl w:val="1"/>
          <w:numId w:val="1026"/>
        </w:numPr>
        <w:pStyle w:val="Compact"/>
      </w:pPr>
      <w:r>
        <w:t xml:space="preserve">结构性过剩（空置高 + 需求弱）：〔D-59 板块清单〕；</w:t>
      </w:r>
    </w:p>
    <w:p>
      <w:pPr>
        <w:numPr>
          <w:ilvl w:val="1"/>
          <w:numId w:val="1026"/>
        </w:numPr>
        <w:pStyle w:val="Compact"/>
      </w:pPr>
      <w:r>
        <w:t xml:space="preserve">结构性短缺（需求强 + 供给不足，如生物医药合规实验室空间）：〔D-60 板块清单〕；</w:t>
      </w:r>
    </w:p>
    <w:p>
      <w:pPr>
        <w:numPr>
          <w:ilvl w:val="1"/>
          <w:numId w:val="1026"/>
        </w:numPr>
        <w:pStyle w:val="Compact"/>
      </w:pPr>
      <w:r>
        <w:t xml:space="preserve">面积错配（供给以大面积总部为主、需求以中小科创为主）：〔D-61〕。</w:t>
      </w:r>
    </w:p>
    <w:bookmarkEnd w:id="56"/>
    <w:bookmarkStart w:id="57" w:name="优质载体适配分析"/>
    <w:p>
      <w:pPr>
        <w:pStyle w:val="Heading2"/>
      </w:pPr>
      <w:r>
        <w:t xml:space="preserve">4.2 优质载体适配分析</w:t>
      </w:r>
    </w:p>
    <w:p>
      <w:pPr>
        <w:numPr>
          <w:ilvl w:val="0"/>
          <w:numId w:val="1027"/>
        </w:numPr>
        <w:pStyle w:val="Compact"/>
      </w:pPr>
      <w:r>
        <w:t xml:space="preserve">重点楼宇/园区”核心优势 → 适配产业 → 目标客群画像”对照表：〔D-62〕。</w:t>
      </w:r>
    </w:p>
    <w:p>
      <w:pPr>
        <w:numPr>
          <w:ilvl w:val="0"/>
          <w:numId w:val="1027"/>
        </w:numPr>
        <w:pStyle w:val="Compact"/>
      </w:pPr>
      <w:r>
        <w:t xml:space="preserve">成功去化案例拆解：为何某些园区能快速去化（产业主题 + 政策兑现 + 运营服务 + 价格策略）。</w:t>
      </w:r>
    </w:p>
    <w:bookmarkEnd w:id="57"/>
    <w:bookmarkStart w:id="58" w:name="空白需求挖掘"/>
    <w:p>
      <w:pPr>
        <w:pStyle w:val="Heading2"/>
      </w:pPr>
      <w:r>
        <w:t xml:space="preserve">4.3 空白需求挖掘</w:t>
      </w:r>
    </w:p>
    <w:p>
      <w:pPr>
        <w:numPr>
          <w:ilvl w:val="0"/>
          <w:numId w:val="1028"/>
        </w:numPr>
        <w:pStyle w:val="Compact"/>
      </w:pPr>
      <w:r>
        <w:t xml:space="preserve">各板块产业布局缺口与未被满足的特定空间需求（如生物医药环评/实验室、AI 算力邻近、智能制造厂办一体）；〔D-63〕。</w:t>
      </w:r>
    </w:p>
    <w:bookmarkEnd w:id="58"/>
    <w:bookmarkStart w:id="59" w:name="精准招商线索与资产盘活"/>
    <w:p>
      <w:pPr>
        <w:pStyle w:val="Heading2"/>
      </w:pPr>
      <w:r>
        <w:t xml:space="preserve">4.4 精准招商线索与资产盘活</w:t>
      </w:r>
    </w:p>
    <w:p>
      <w:pPr>
        <w:numPr>
          <w:ilvl w:val="0"/>
          <w:numId w:val="1029"/>
        </w:numPr>
        <w:pStyle w:val="Compact"/>
      </w:pPr>
      <w:r>
        <w:rPr>
          <w:bCs/>
          <w:b/>
        </w:rPr>
        <w:t xml:space="preserve">三类核心清单</w:t>
      </w:r>
      <w:r>
        <w:t xml:space="preserve">（可单独作为付费数据产品）：</w:t>
      </w:r>
    </w:p>
    <w:p>
      <w:pPr>
        <w:numPr>
          <w:ilvl w:val="1"/>
          <w:numId w:val="1030"/>
        </w:numPr>
        <w:pStyle w:val="Compact"/>
      </w:pPr>
      <w:r>
        <w:t xml:space="preserve">高潜力成长企业清单（近 6 个月融资 + 招聘扩张 + 工商稳定）：〔D-64〕；</w:t>
      </w:r>
    </w:p>
    <w:p>
      <w:pPr>
        <w:numPr>
          <w:ilvl w:val="1"/>
          <w:numId w:val="1030"/>
        </w:numPr>
        <w:pStyle w:val="Compact"/>
      </w:pPr>
      <w:r>
        <w:t xml:space="preserve">重点招商产业清单（按区域适配 + 需求热度）：〔D-65〕；</w:t>
      </w:r>
    </w:p>
    <w:p>
      <w:pPr>
        <w:numPr>
          <w:ilvl w:val="1"/>
          <w:numId w:val="1030"/>
        </w:numPr>
        <w:pStyle w:val="Compact"/>
      </w:pPr>
      <w:r>
        <w:t xml:space="preserve">优先发力招商板块清单（供需匹配 + 净流入）：〔D-66〕。</w:t>
      </w:r>
    </w:p>
    <w:p>
      <w:pPr>
        <w:numPr>
          <w:ilvl w:val="0"/>
          <w:numId w:val="1029"/>
        </w:numPr>
        <w:pStyle w:val="Compact"/>
      </w:pPr>
      <w:r>
        <w:rPr>
          <w:bCs/>
          <w:b/>
        </w:rPr>
        <w:t xml:space="preserve">载体改造建议</w:t>
      </w:r>
      <w:r>
        <w:t xml:space="preserve">：老旧/高空置楼宇向研发办公、垂直产业社区、长租公寓等转型的可行性研判。</w:t>
      </w:r>
    </w:p>
    <w:p>
      <w:r>
        <w:pict>
          <v:rect style="width:0;height:1.5pt" o:hralign="center" o:hrstd="t" o:hr="t"/>
        </w:pict>
      </w:r>
    </w:p>
    <w:bookmarkEnd w:id="59"/>
    <w:bookmarkEnd w:id="60"/>
    <w:bookmarkStart w:id="67" w:name="第五章-趋势展望与战略建议"/>
    <w:p>
      <w:pPr>
        <w:pStyle w:val="Heading1"/>
      </w:pPr>
      <w:r>
        <w:t xml:space="preserve">第五章 · 趋势展望与战略建议</w:t>
      </w:r>
    </w:p>
    <w:bookmarkStart w:id="61" w:name="市场走势预判未来-618-个月"/>
    <w:p>
      <w:pPr>
        <w:pStyle w:val="Heading2"/>
      </w:pPr>
      <w:r>
        <w:t xml:space="preserve">5.1 市场走势预判（未来 6–18 个月）</w:t>
      </w:r>
    </w:p>
    <w:p>
      <w:pPr>
        <w:numPr>
          <w:ilvl w:val="0"/>
          <w:numId w:val="1031"/>
        </w:numPr>
        <w:pStyle w:val="Compact"/>
      </w:pPr>
      <w:r>
        <w:rPr>
          <w:bCs/>
          <w:b/>
        </w:rPr>
        <w:t xml:space="preserve">租金趋势</w:t>
      </w:r>
      <w:r>
        <w:t xml:space="preserve">：核心区甲级在新增供应消化期内预计 〔D-67 趋势〕；产业定位清晰的科创/产业载体租金韧性更强。驱动因素：新增供应节奏、企业降本力度、新质生产力需求增量。</w:t>
      </w:r>
    </w:p>
    <w:p>
      <w:pPr>
        <w:numPr>
          <w:ilvl w:val="0"/>
          <w:numId w:val="1031"/>
        </w:numPr>
        <w:pStyle w:val="Compact"/>
      </w:pPr>
      <w:r>
        <w:rPr>
          <w:bCs/>
          <w:b/>
        </w:rPr>
        <w:t xml:space="preserve">空置率趋势</w:t>
      </w:r>
      <w:r>
        <w:t xml:space="preserve">：高新增供应板块去化压力延续，预警清单见 〔D-53〕；优质稀缺载体（产业生态成熟、TOD 区位）相对抗跌。</w:t>
      </w:r>
    </w:p>
    <w:p>
      <w:pPr>
        <w:numPr>
          <w:ilvl w:val="0"/>
          <w:numId w:val="1031"/>
        </w:numPr>
        <w:pStyle w:val="Compact"/>
      </w:pPr>
      <w:r>
        <w:rPr>
          <w:bCs/>
          <w:b/>
        </w:rPr>
        <w:t xml:space="preserve">产业需求趋势</w:t>
      </w:r>
      <w:r>
        <w:t xml:space="preserve">：AI/大模型、集成电路、生物医药、智能驾驶、机器人、低空经济等增量明确；部分传统服务业延续缩租/降本迁移。</w:t>
      </w:r>
    </w:p>
    <w:p>
      <w:pPr>
        <w:numPr>
          <w:ilvl w:val="0"/>
          <w:numId w:val="1031"/>
        </w:numPr>
        <w:pStyle w:val="Compact"/>
      </w:pPr>
      <w:r>
        <w:rPr>
          <w:bCs/>
          <w:b/>
        </w:rPr>
        <w:t xml:space="preserve">企业空间策略</w:t>
      </w:r>
      <w:r>
        <w:t xml:space="preserve">：更灵活的面积配置、复合型产业空间需求上升、</w:t>
      </w:r>
      <w:r>
        <w:t xml:space="preserve">“</w:t>
      </w:r>
      <w:r>
        <w:t xml:space="preserve">以续代搬</w:t>
      </w:r>
      <w:r>
        <w:t xml:space="preserve">”</w:t>
      </w:r>
      <w:r>
        <w:t xml:space="preserve">的谨慎心态延续。</w:t>
      </w:r>
    </w:p>
    <w:bookmarkEnd w:id="61"/>
    <w:bookmarkStart w:id="66" w:name="分角色战略建议"/>
    <w:p>
      <w:pPr>
        <w:pStyle w:val="Heading2"/>
      </w:pPr>
      <w:r>
        <w:t xml:space="preserve">5.2 分角色战略建议</w:t>
      </w:r>
    </w:p>
    <w:bookmarkStart w:id="62" w:name="对政府"/>
    <w:p>
      <w:pPr>
        <w:pStyle w:val="Heading3"/>
      </w:pPr>
      <w:r>
        <w:t xml:space="preserve">5.2.1 对政府</w:t>
      </w:r>
    </w:p>
    <w:p>
      <w:pPr>
        <w:numPr>
          <w:ilvl w:val="0"/>
          <w:numId w:val="1032"/>
        </w:numPr>
        <w:pStyle w:val="Compact"/>
      </w:pPr>
      <w:r>
        <w:t xml:space="preserve">建立全域商办与产业空间数据库，以街镇为单元动态监测空置与企业迁徙；</w:t>
      </w:r>
    </w:p>
    <w:p>
      <w:pPr>
        <w:numPr>
          <w:ilvl w:val="0"/>
          <w:numId w:val="1032"/>
        </w:numPr>
        <w:pStyle w:val="Compact"/>
      </w:pPr>
      <w:r>
        <w:t xml:space="preserve">对高空置区域实施精准招商，推动产业导入—楼宇更新联动；</w:t>
      </w:r>
    </w:p>
    <w:p>
      <w:pPr>
        <w:numPr>
          <w:ilvl w:val="0"/>
          <w:numId w:val="1032"/>
        </w:numPr>
        <w:pStyle w:val="Compact"/>
      </w:pPr>
      <w:r>
        <w:t xml:space="preserve">用企业迁徙数据优化产业政策与强链补链靶向招商目录；</w:t>
      </w:r>
    </w:p>
    <w:p>
      <w:pPr>
        <w:numPr>
          <w:ilvl w:val="0"/>
          <w:numId w:val="1032"/>
        </w:numPr>
        <w:pStyle w:val="Compact"/>
      </w:pPr>
      <w:r>
        <w:t xml:space="preserve">优化城市更新土地政策，支持老旧载体功能转换。</w:t>
      </w:r>
    </w:p>
    <w:bookmarkEnd w:id="62"/>
    <w:bookmarkStart w:id="63" w:name="对资产方"/>
    <w:p>
      <w:pPr>
        <w:pStyle w:val="Heading3"/>
      </w:pPr>
      <w:r>
        <w:t xml:space="preserve">5.2.2 对资产方</w:t>
      </w:r>
    </w:p>
    <w:p>
      <w:pPr>
        <w:numPr>
          <w:ilvl w:val="0"/>
          <w:numId w:val="1033"/>
        </w:numPr>
        <w:pStyle w:val="Compact"/>
      </w:pPr>
      <w:r>
        <w:t xml:space="preserve">以成交租金（而非挂牌价）为定价基准，建立竞品价格与议价系数监测；</w:t>
      </w:r>
    </w:p>
    <w:p>
      <w:pPr>
        <w:numPr>
          <w:ilvl w:val="0"/>
          <w:numId w:val="1033"/>
        </w:numPr>
        <w:pStyle w:val="Compact"/>
      </w:pPr>
      <w:r>
        <w:t xml:space="preserve">高空置资产采取”降价 / 改造 / 联合运营 / 产业主题包装”组合策略；</w:t>
      </w:r>
    </w:p>
    <w:p>
      <w:pPr>
        <w:numPr>
          <w:ilvl w:val="0"/>
          <w:numId w:val="1033"/>
        </w:numPr>
        <w:pStyle w:val="Compact"/>
      </w:pPr>
      <w:r>
        <w:t xml:space="preserve">实施”一楼一策”定位优化，为资产证券化/REITs 储备标准化数据。</w:t>
      </w:r>
    </w:p>
    <w:bookmarkEnd w:id="63"/>
    <w:bookmarkStart w:id="64" w:name="对园区运营方"/>
    <w:p>
      <w:pPr>
        <w:pStyle w:val="Heading3"/>
      </w:pPr>
      <w:r>
        <w:t xml:space="preserve">5.2.3 对园区运营方</w:t>
      </w:r>
    </w:p>
    <w:p>
      <w:pPr>
        <w:numPr>
          <w:ilvl w:val="0"/>
          <w:numId w:val="1034"/>
        </w:numPr>
        <w:pStyle w:val="Compact"/>
      </w:pPr>
      <w:r>
        <w:t xml:space="preserve">从”租赁招商”转向”产业招商”，建立企业画像与招商漏斗；</w:t>
      </w:r>
    </w:p>
    <w:p>
      <w:pPr>
        <w:numPr>
          <w:ilvl w:val="0"/>
          <w:numId w:val="1034"/>
        </w:numPr>
        <w:pStyle w:val="Compact"/>
      </w:pPr>
      <w:r>
        <w:t xml:space="preserve">补足企业服务（政策申报、投融资对接、产业链撮合、公共技术平台）；</w:t>
      </w:r>
    </w:p>
    <w:p>
      <w:pPr>
        <w:numPr>
          <w:ilvl w:val="0"/>
          <w:numId w:val="1034"/>
        </w:numPr>
        <w:pStyle w:val="Compact"/>
      </w:pPr>
      <w:r>
        <w:t xml:space="preserve">对老旧载体进行场景化改造（实验室、展厅、共享会议、中试空间）。</w:t>
      </w:r>
    </w:p>
    <w:bookmarkEnd w:id="64"/>
    <w:bookmarkStart w:id="65" w:name="对企业"/>
    <w:p>
      <w:pPr>
        <w:pStyle w:val="Heading3"/>
      </w:pPr>
      <w:r>
        <w:t xml:space="preserve">5.2.4 对企业</w:t>
      </w:r>
    </w:p>
    <w:p>
      <w:pPr>
        <w:numPr>
          <w:ilvl w:val="0"/>
          <w:numId w:val="1035"/>
        </w:numPr>
        <w:pStyle w:val="Compact"/>
      </w:pPr>
      <w:r>
        <w:t xml:space="preserve">建立”租金 + 物业费 + 通勤 + 政策补贴”的全成本选址模型；</w:t>
      </w:r>
    </w:p>
    <w:p>
      <w:pPr>
        <w:numPr>
          <w:ilvl w:val="0"/>
          <w:numId w:val="1035"/>
        </w:numPr>
        <w:pStyle w:val="Compact"/>
      </w:pPr>
      <w:r>
        <w:t xml:space="preserve">按发展阶段选择空间（初创—孵化器、成长—园区、成熟—总部）；</w:t>
      </w:r>
    </w:p>
    <w:p>
      <w:pPr>
        <w:numPr>
          <w:ilvl w:val="0"/>
          <w:numId w:val="1035"/>
        </w:numPr>
        <w:pStyle w:val="Compact"/>
      </w:pPr>
      <w:r>
        <w:t xml:space="preserve">重视区域未来产业趋势、产业生态与人才可达性。</w:t>
      </w:r>
    </w:p>
    <w:p>
      <w:r>
        <w:pict>
          <v:rect style="width:0;height:1.5pt" o:hralign="center" o:hrstd="t" o:hr="t"/>
        </w:pict>
      </w:r>
    </w:p>
    <w:bookmarkEnd w:id="65"/>
    <w:bookmarkEnd w:id="66"/>
    <w:bookmarkEnd w:id="67"/>
    <w:bookmarkStart w:id="73" w:name="附录"/>
    <w:p>
      <w:pPr>
        <w:pStyle w:val="Heading1"/>
      </w:pPr>
      <w:r>
        <w:t xml:space="preserve">附录</w:t>
      </w:r>
    </w:p>
    <w:bookmarkStart w:id="68" w:name="附录-a-重点板块速查表定性画像数值待回填"/>
    <w:p>
      <w:pPr>
        <w:pStyle w:val="Heading2"/>
      </w:pPr>
      <w:r>
        <w:t xml:space="preserve">附录 A · 重点板块速查表（定性画像，数值待回填）</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板块</w:t>
            </w:r>
          </w:p>
        </w:tc>
        <w:tc>
          <w:tcPr/>
          <w:p>
            <w:pPr>
              <w:pStyle w:val="Compact"/>
              <w:jc w:val="left"/>
            </w:pPr>
            <w:r>
              <w:t xml:space="preserve">核心定位</w:t>
            </w:r>
          </w:p>
        </w:tc>
        <w:tc>
          <w:tcPr/>
          <w:p>
            <w:pPr>
              <w:pStyle w:val="Compact"/>
              <w:jc w:val="left"/>
            </w:pPr>
            <w:r>
              <w:t xml:space="preserve">适配产业</w:t>
            </w:r>
          </w:p>
        </w:tc>
        <w:tc>
          <w:tcPr/>
          <w:p>
            <w:pPr>
              <w:pStyle w:val="Compact"/>
              <w:jc w:val="left"/>
            </w:pPr>
            <w:r>
              <w:t xml:space="preserve">租金区间</w:t>
            </w:r>
          </w:p>
        </w:tc>
        <w:tc>
          <w:tcPr/>
          <w:p>
            <w:pPr>
              <w:pStyle w:val="Compact"/>
              <w:jc w:val="left"/>
            </w:pPr>
            <w:r>
              <w:t xml:space="preserve">空置水平</w:t>
            </w:r>
          </w:p>
        </w:tc>
        <w:tc>
          <w:tcPr/>
          <w:p>
            <w:pPr>
              <w:pStyle w:val="Compact"/>
              <w:jc w:val="left"/>
            </w:pPr>
            <w:r>
              <w:t xml:space="preserve">招商机会提示</w:t>
            </w:r>
          </w:p>
        </w:tc>
      </w:tr>
      <w:tr>
        <w:tc>
          <w:tcPr/>
          <w:p>
            <w:pPr>
              <w:pStyle w:val="Compact"/>
              <w:jc w:val="left"/>
            </w:pPr>
            <w:r>
              <w:t xml:space="preserve">陆家嘴</w:t>
            </w:r>
          </w:p>
        </w:tc>
        <w:tc>
          <w:tcPr/>
          <w:p>
            <w:pPr>
              <w:pStyle w:val="Compact"/>
              <w:jc w:val="left"/>
            </w:pPr>
            <w:r>
              <w:t xml:space="preserve">金融总部</w:t>
            </w:r>
          </w:p>
        </w:tc>
        <w:tc>
          <w:tcPr/>
          <w:p>
            <w:pPr>
              <w:pStyle w:val="Compact"/>
              <w:jc w:val="left"/>
            </w:pPr>
            <w:r>
              <w:t xml:space="preserve">金融、外资机构</w:t>
            </w:r>
          </w:p>
        </w:tc>
        <w:tc>
          <w:tcPr/>
          <w:p>
            <w:pPr>
              <w:pStyle w:val="Compact"/>
              <w:jc w:val="left"/>
            </w:pPr>
            <w:r>
              <w:t xml:space="preserve">〔D-A1〕</w:t>
            </w:r>
          </w:p>
        </w:tc>
        <w:tc>
          <w:tcPr/>
          <w:p>
            <w:pPr>
              <w:pStyle w:val="Compact"/>
              <w:jc w:val="left"/>
            </w:pPr>
            <w:r>
              <w:t xml:space="preserve">〔D-A2〕</w:t>
            </w:r>
          </w:p>
        </w:tc>
        <w:tc>
          <w:tcPr/>
          <w:p>
            <w:pPr>
              <w:pStyle w:val="Compact"/>
              <w:jc w:val="left"/>
            </w:pPr>
            <w:r>
              <w:t xml:space="preserve">品牌总部、专业服务</w:t>
            </w:r>
          </w:p>
        </w:tc>
      </w:tr>
      <w:tr>
        <w:tc>
          <w:tcPr/>
          <w:p>
            <w:pPr>
              <w:pStyle w:val="Compact"/>
              <w:jc w:val="left"/>
            </w:pPr>
            <w:r>
              <w:t xml:space="preserve">前滩</w:t>
            </w:r>
          </w:p>
        </w:tc>
        <w:tc>
          <w:tcPr/>
          <w:p>
            <w:pPr>
              <w:pStyle w:val="Compact"/>
              <w:jc w:val="left"/>
            </w:pPr>
            <w:r>
              <w:t xml:space="preserve">新金融/总部</w:t>
            </w:r>
          </w:p>
        </w:tc>
        <w:tc>
          <w:tcPr/>
          <w:p>
            <w:pPr>
              <w:pStyle w:val="Compact"/>
              <w:jc w:val="left"/>
            </w:pPr>
            <w:r>
              <w:t xml:space="preserve">金融、消费、总部</w:t>
            </w:r>
          </w:p>
        </w:tc>
        <w:tc>
          <w:tcPr/>
          <w:p>
            <w:pPr>
              <w:pStyle w:val="Compact"/>
              <w:jc w:val="left"/>
            </w:pPr>
            <w:r>
              <w:t xml:space="preserve">〔D-A3〕</w:t>
            </w:r>
          </w:p>
        </w:tc>
        <w:tc>
          <w:tcPr/>
          <w:p>
            <w:pPr>
              <w:pStyle w:val="Compact"/>
              <w:jc w:val="left"/>
            </w:pPr>
            <w:r>
              <w:t xml:space="preserve">〔D-A4〕</w:t>
            </w:r>
          </w:p>
        </w:tc>
        <w:tc>
          <w:tcPr/>
          <w:p>
            <w:pPr>
              <w:pStyle w:val="Compact"/>
              <w:jc w:val="left"/>
            </w:pPr>
            <w:r>
              <w:t xml:space="preserve">核心区外溢承接</w:t>
            </w:r>
          </w:p>
        </w:tc>
      </w:tr>
      <w:tr>
        <w:tc>
          <w:tcPr/>
          <w:p>
            <w:pPr>
              <w:pStyle w:val="Compact"/>
              <w:jc w:val="left"/>
            </w:pPr>
            <w:r>
              <w:t xml:space="preserve">张江</w:t>
            </w:r>
          </w:p>
        </w:tc>
        <w:tc>
          <w:tcPr/>
          <w:p>
            <w:pPr>
              <w:pStyle w:val="Compact"/>
              <w:jc w:val="left"/>
            </w:pPr>
            <w:r>
              <w:t xml:space="preserve">科创高地</w:t>
            </w:r>
          </w:p>
        </w:tc>
        <w:tc>
          <w:tcPr/>
          <w:p>
            <w:pPr>
              <w:pStyle w:val="Compact"/>
              <w:jc w:val="left"/>
            </w:pPr>
            <w:r>
              <w:t xml:space="preserve">集成电路、生物医药、AI</w:t>
            </w:r>
          </w:p>
        </w:tc>
        <w:tc>
          <w:tcPr/>
          <w:p>
            <w:pPr>
              <w:pStyle w:val="Compact"/>
              <w:jc w:val="left"/>
            </w:pPr>
            <w:r>
              <w:t xml:space="preserve">〔D-A5〕</w:t>
            </w:r>
          </w:p>
        </w:tc>
        <w:tc>
          <w:tcPr/>
          <w:p>
            <w:pPr>
              <w:pStyle w:val="Compact"/>
              <w:jc w:val="left"/>
            </w:pPr>
            <w:r>
              <w:t xml:space="preserve">〔D-A6〕</w:t>
            </w:r>
          </w:p>
        </w:tc>
        <w:tc>
          <w:tcPr/>
          <w:p>
            <w:pPr>
              <w:pStyle w:val="Compact"/>
              <w:jc w:val="left"/>
            </w:pPr>
            <w:r>
              <w:t xml:space="preserve">硬科技、研发总部</w:t>
            </w:r>
          </w:p>
        </w:tc>
      </w:tr>
      <w:tr>
        <w:tc>
          <w:tcPr/>
          <w:p>
            <w:pPr>
              <w:pStyle w:val="Compact"/>
              <w:jc w:val="left"/>
            </w:pPr>
            <w:r>
              <w:t xml:space="preserve">临港</w:t>
            </w:r>
          </w:p>
        </w:tc>
        <w:tc>
          <w:tcPr/>
          <w:p>
            <w:pPr>
              <w:pStyle w:val="Compact"/>
              <w:jc w:val="left"/>
            </w:pPr>
            <w:r>
              <w:t xml:space="preserve">硬科技/制造</w:t>
            </w:r>
          </w:p>
        </w:tc>
        <w:tc>
          <w:tcPr/>
          <w:p>
            <w:pPr>
              <w:pStyle w:val="Compact"/>
              <w:jc w:val="left"/>
            </w:pPr>
            <w:r>
              <w:t xml:space="preserve">高端制造、智能驾驶、国际业务</w:t>
            </w:r>
          </w:p>
        </w:tc>
        <w:tc>
          <w:tcPr/>
          <w:p>
            <w:pPr>
              <w:pStyle w:val="Compact"/>
              <w:jc w:val="left"/>
            </w:pPr>
            <w:r>
              <w:t xml:space="preserve">〔D-A7〕</w:t>
            </w:r>
          </w:p>
        </w:tc>
        <w:tc>
          <w:tcPr/>
          <w:p>
            <w:pPr>
              <w:pStyle w:val="Compact"/>
              <w:jc w:val="left"/>
            </w:pPr>
            <w:r>
              <w:t xml:space="preserve">〔D-A8〕</w:t>
            </w:r>
          </w:p>
        </w:tc>
        <w:tc>
          <w:tcPr/>
          <w:p>
            <w:pPr>
              <w:pStyle w:val="Compact"/>
              <w:jc w:val="left"/>
            </w:pPr>
            <w:r>
              <w:t xml:space="preserve">重大项目、成本型导入</w:t>
            </w:r>
          </w:p>
        </w:tc>
      </w:tr>
      <w:tr>
        <w:tc>
          <w:tcPr/>
          <w:p>
            <w:pPr>
              <w:pStyle w:val="Compact"/>
              <w:jc w:val="left"/>
            </w:pPr>
            <w:r>
              <w:t xml:space="preserve">北外滩</w:t>
            </w:r>
          </w:p>
        </w:tc>
        <w:tc>
          <w:tcPr/>
          <w:p>
            <w:pPr>
              <w:pStyle w:val="Compact"/>
              <w:jc w:val="left"/>
            </w:pPr>
            <w:r>
              <w:t xml:space="preserve">金融航运</w:t>
            </w:r>
          </w:p>
        </w:tc>
        <w:tc>
          <w:tcPr/>
          <w:p>
            <w:pPr>
              <w:pStyle w:val="Compact"/>
              <w:jc w:val="left"/>
            </w:pPr>
            <w:r>
              <w:t xml:space="preserve">金融、航运服务</w:t>
            </w:r>
          </w:p>
        </w:tc>
        <w:tc>
          <w:tcPr/>
          <w:p>
            <w:pPr>
              <w:pStyle w:val="Compact"/>
              <w:jc w:val="left"/>
            </w:pPr>
            <w:r>
              <w:t xml:space="preserve">〔D-A9〕</w:t>
            </w:r>
          </w:p>
        </w:tc>
        <w:tc>
          <w:tcPr/>
          <w:p>
            <w:pPr>
              <w:pStyle w:val="Compact"/>
              <w:jc w:val="left"/>
            </w:pPr>
            <w:r>
              <w:t xml:space="preserve">〔D-A10〕</w:t>
            </w:r>
          </w:p>
        </w:tc>
        <w:tc>
          <w:tcPr/>
          <w:p>
            <w:pPr>
              <w:pStyle w:val="Compact"/>
              <w:jc w:val="left"/>
            </w:pPr>
            <w:r>
              <w:t xml:space="preserve">新增供应去化</w:t>
            </w:r>
          </w:p>
        </w:tc>
      </w:tr>
      <w:tr>
        <w:tc>
          <w:tcPr/>
          <w:p>
            <w:pPr>
              <w:pStyle w:val="Compact"/>
              <w:jc w:val="left"/>
            </w:pPr>
            <w:r>
              <w:t xml:space="preserve">徐汇滨江</w:t>
            </w:r>
          </w:p>
        </w:tc>
        <w:tc>
          <w:tcPr/>
          <w:p>
            <w:pPr>
              <w:pStyle w:val="Compact"/>
              <w:jc w:val="left"/>
            </w:pPr>
            <w:r>
              <w:t xml:space="preserve">AI/传媒总部</w:t>
            </w:r>
          </w:p>
        </w:tc>
        <w:tc>
          <w:tcPr/>
          <w:p>
            <w:pPr>
              <w:pStyle w:val="Compact"/>
              <w:jc w:val="left"/>
            </w:pPr>
            <w:r>
              <w:t xml:space="preserve">AI、传媒、互联网</w:t>
            </w:r>
          </w:p>
        </w:tc>
        <w:tc>
          <w:tcPr/>
          <w:p>
            <w:pPr>
              <w:pStyle w:val="Compact"/>
              <w:jc w:val="left"/>
            </w:pPr>
            <w:r>
              <w:t xml:space="preserve">〔D-A11〕</w:t>
            </w:r>
          </w:p>
        </w:tc>
        <w:tc>
          <w:tcPr/>
          <w:p>
            <w:pPr>
              <w:pStyle w:val="Compact"/>
              <w:jc w:val="left"/>
            </w:pPr>
            <w:r>
              <w:t xml:space="preserve">〔D-A12〕</w:t>
            </w:r>
          </w:p>
        </w:tc>
        <w:tc>
          <w:tcPr/>
          <w:p>
            <w:pPr>
              <w:pStyle w:val="Compact"/>
              <w:jc w:val="left"/>
            </w:pPr>
            <w:r>
              <w:t xml:space="preserve">数字经济总部展示</w:t>
            </w:r>
          </w:p>
        </w:tc>
      </w:tr>
      <w:tr>
        <w:tc>
          <w:tcPr/>
          <w:p>
            <w:pPr>
              <w:pStyle w:val="Compact"/>
              <w:jc w:val="left"/>
            </w:pPr>
            <w:r>
              <w:t xml:space="preserve">杨浦滨江/大创智</w:t>
            </w:r>
          </w:p>
        </w:tc>
        <w:tc>
          <w:tcPr/>
          <w:p>
            <w:pPr>
              <w:pStyle w:val="Compact"/>
              <w:jc w:val="left"/>
            </w:pPr>
            <w:r>
              <w:t xml:space="preserve">在线新经济</w:t>
            </w:r>
          </w:p>
        </w:tc>
        <w:tc>
          <w:tcPr/>
          <w:p>
            <w:pPr>
              <w:pStyle w:val="Compact"/>
              <w:jc w:val="left"/>
            </w:pPr>
            <w:r>
              <w:t xml:space="preserve">AI 应用、数字经济、科技服务</w:t>
            </w:r>
          </w:p>
        </w:tc>
        <w:tc>
          <w:tcPr/>
          <w:p>
            <w:pPr>
              <w:pStyle w:val="Compact"/>
              <w:jc w:val="left"/>
            </w:pPr>
            <w:r>
              <w:t xml:space="preserve">〔D-A13〕</w:t>
            </w:r>
          </w:p>
        </w:tc>
        <w:tc>
          <w:tcPr/>
          <w:p>
            <w:pPr>
              <w:pStyle w:val="Compact"/>
              <w:jc w:val="left"/>
            </w:pPr>
            <w:r>
              <w:t xml:space="preserve">〔D-A14〕</w:t>
            </w:r>
          </w:p>
        </w:tc>
        <w:tc>
          <w:tcPr/>
          <w:p>
            <w:pPr>
              <w:pStyle w:val="Compact"/>
              <w:jc w:val="left"/>
            </w:pPr>
            <w:r>
              <w:t xml:space="preserve">科创服务、高校协同</w:t>
            </w:r>
          </w:p>
        </w:tc>
      </w:tr>
      <w:tr>
        <w:tc>
          <w:tcPr/>
          <w:p>
            <w:pPr>
              <w:pStyle w:val="Compact"/>
              <w:jc w:val="left"/>
            </w:pPr>
            <w:r>
              <w:t xml:space="preserve">大虹桥</w:t>
            </w:r>
          </w:p>
        </w:tc>
        <w:tc>
          <w:tcPr/>
          <w:p>
            <w:pPr>
              <w:pStyle w:val="Compact"/>
              <w:jc w:val="left"/>
            </w:pPr>
            <w:r>
              <w:t xml:space="preserve">总部/会展/贸易</w:t>
            </w:r>
          </w:p>
        </w:tc>
        <w:tc>
          <w:tcPr/>
          <w:p>
            <w:pPr>
              <w:pStyle w:val="Compact"/>
              <w:jc w:val="left"/>
            </w:pPr>
            <w:r>
              <w:t xml:space="preserve">总部、数字贸易、会展</w:t>
            </w:r>
          </w:p>
        </w:tc>
        <w:tc>
          <w:tcPr/>
          <w:p>
            <w:pPr>
              <w:pStyle w:val="Compact"/>
              <w:jc w:val="left"/>
            </w:pPr>
            <w:r>
              <w:t xml:space="preserve">〔D-A15〕</w:t>
            </w:r>
          </w:p>
        </w:tc>
        <w:tc>
          <w:tcPr/>
          <w:p>
            <w:pPr>
              <w:pStyle w:val="Compact"/>
              <w:jc w:val="left"/>
            </w:pPr>
            <w:r>
              <w:t xml:space="preserve">〔D-A16〕</w:t>
            </w:r>
          </w:p>
        </w:tc>
        <w:tc>
          <w:tcPr/>
          <w:p>
            <w:pPr>
              <w:pStyle w:val="Compact"/>
              <w:jc w:val="left"/>
            </w:pPr>
            <w:r>
              <w:t xml:space="preserve">TOD 商务区导入</w:t>
            </w:r>
          </w:p>
        </w:tc>
      </w:tr>
      <w:tr>
        <w:tc>
          <w:tcPr/>
          <w:p>
            <w:pPr>
              <w:pStyle w:val="Compact"/>
              <w:jc w:val="left"/>
            </w:pPr>
            <w:r>
              <w:t xml:space="preserve">漕河泾/紫竹</w:t>
            </w:r>
          </w:p>
        </w:tc>
        <w:tc>
          <w:tcPr/>
          <w:p>
            <w:pPr>
              <w:pStyle w:val="Compact"/>
              <w:jc w:val="left"/>
            </w:pPr>
            <w:r>
              <w:t xml:space="preserve">成熟科技园</w:t>
            </w:r>
          </w:p>
        </w:tc>
        <w:tc>
          <w:tcPr/>
          <w:p>
            <w:pPr>
              <w:pStyle w:val="Compact"/>
              <w:jc w:val="left"/>
            </w:pPr>
            <w:r>
              <w:t xml:space="preserve">TMT、集成电路、生命健康</w:t>
            </w:r>
          </w:p>
        </w:tc>
        <w:tc>
          <w:tcPr/>
          <w:p>
            <w:pPr>
              <w:pStyle w:val="Compact"/>
              <w:jc w:val="left"/>
            </w:pPr>
            <w:r>
              <w:t xml:space="preserve">〔D-A17〕</w:t>
            </w:r>
          </w:p>
        </w:tc>
        <w:tc>
          <w:tcPr/>
          <w:p>
            <w:pPr>
              <w:pStyle w:val="Compact"/>
              <w:jc w:val="left"/>
            </w:pPr>
            <w:r>
              <w:t xml:space="preserve">〔D-A18〕</w:t>
            </w:r>
          </w:p>
        </w:tc>
        <w:tc>
          <w:tcPr/>
          <w:p>
            <w:pPr>
              <w:pStyle w:val="Compact"/>
              <w:jc w:val="left"/>
            </w:pPr>
            <w:r>
              <w:t xml:space="preserve">性价比科创承接</w:t>
            </w:r>
          </w:p>
        </w:tc>
      </w:tr>
    </w:tbl>
    <w:bookmarkEnd w:id="68"/>
    <w:bookmarkStart w:id="69" w:name="附录-b-统计口径与方法论说明"/>
    <w:p>
      <w:pPr>
        <w:pStyle w:val="Heading2"/>
      </w:pPr>
      <w:r>
        <w:t xml:space="preserve">附录 B · 统计口径与方法论说明</w:t>
      </w:r>
    </w:p>
    <w:p>
      <w:pPr>
        <w:numPr>
          <w:ilvl w:val="0"/>
          <w:numId w:val="1036"/>
        </w:numPr>
        <w:pStyle w:val="Compact"/>
      </w:pPr>
      <w:r>
        <w:t xml:space="preserve">物业分级、行业分类、面积口径、租金双口径、空置三类口径定义详见《大纲与数据来源调用指引》第三部分。</w:t>
      </w:r>
    </w:p>
    <w:p>
      <w:pPr>
        <w:numPr>
          <w:ilvl w:val="0"/>
          <w:numId w:val="1036"/>
        </w:numPr>
        <w:pStyle w:val="Compact"/>
      </w:pPr>
      <w:r>
        <w:t xml:space="preserve">迁徙判断规则：≥2 个独立信号（工商变更 / 招聘地址变动 / 官网公众号公告 / POI 变化 / 园区入驻新闻）交叉确认。</w:t>
      </w:r>
    </w:p>
    <w:p>
      <w:pPr>
        <w:numPr>
          <w:ilvl w:val="0"/>
          <w:numId w:val="1036"/>
        </w:numPr>
        <w:pStyle w:val="Compact"/>
      </w:pPr>
      <w:r>
        <w:t xml:space="preserve">代理空置率说明：基于公开挂牌房源测算，辅以企业入驻匹配校验。</w:t>
      </w:r>
    </w:p>
    <w:bookmarkEnd w:id="69"/>
    <w:bookmarkStart w:id="70" w:name="附录-c-衍生指标算法"/>
    <w:p>
      <w:pPr>
        <w:pStyle w:val="Heading2"/>
      </w:pPr>
      <w:r>
        <w:t xml:space="preserve">附录 C · 衍生指标算法</w:t>
      </w:r>
    </w:p>
    <w:p>
      <w:pPr>
        <w:numPr>
          <w:ilvl w:val="0"/>
          <w:numId w:val="1037"/>
        </w:numPr>
        <w:pStyle w:val="Compact"/>
      </w:pPr>
      <w:r>
        <w:t xml:space="preserve">区域空置率、板块平均租金、全成本租金、净吸纳量、行业需求热度、区位熵集聚度、供需匹配度（余弦相似度）、区域吸引力指数、高潜力企业筛选——算法明细见配套指引第三部分第 2 节。</w:t>
      </w:r>
    </w:p>
    <w:bookmarkEnd w:id="70"/>
    <w:bookmarkStart w:id="71" w:name="附录-d-数据采集合规声明"/>
    <w:p>
      <w:pPr>
        <w:pStyle w:val="Heading2"/>
      </w:pPr>
      <w:r>
        <w:t xml:space="preserve">附录 D · 数据采集合规声明</w:t>
      </w:r>
    </w:p>
    <w:p>
      <w:pPr>
        <w:numPr>
          <w:ilvl w:val="0"/>
          <w:numId w:val="1038"/>
        </w:numPr>
        <w:pStyle w:val="Compact"/>
      </w:pPr>
      <w:r>
        <w:t xml:space="preserve">遵循《上海市数据条例》及各数据平台服务条款；</w:t>
      </w:r>
    </w:p>
    <w:p>
      <w:pPr>
        <w:numPr>
          <w:ilvl w:val="0"/>
          <w:numId w:val="1038"/>
        </w:numPr>
        <w:pStyle w:val="Compact"/>
      </w:pPr>
      <w:r>
        <w:t xml:space="preserve">企业数据仅限公开工商登记信息，不涉及商业秘密与个人隐私；</w:t>
      </w:r>
    </w:p>
    <w:p>
      <w:pPr>
        <w:numPr>
          <w:ilvl w:val="0"/>
          <w:numId w:val="1038"/>
        </w:numPr>
        <w:pStyle w:val="Compact"/>
      </w:pPr>
      <w:r>
        <w:t xml:space="preserve">建立数据脱敏机制，报告以汇总统计口径呈现，个体企业敏感信息不可追溯、未经确认不披露。</w:t>
      </w:r>
    </w:p>
    <w:bookmarkEnd w:id="71"/>
    <w:bookmarkStart w:id="72" w:name="附录-e-数据占位索引说明"/>
    <w:p>
      <w:pPr>
        <w:pStyle w:val="Heading2"/>
      </w:pPr>
      <w:r>
        <w:t xml:space="preserve">附录 E · 数据占位索引说明</w:t>
      </w:r>
    </w:p>
    <w:p>
      <w:pPr>
        <w:pStyle w:val="FirstParagraph"/>
      </w:pPr>
      <w:r>
        <w:t xml:space="preserve">本报告所有 〔D-编号〕 占位均对应配套《大纲与数据来源调用指引》中”数据库—章节映射”所列字段，由后台 ① 楼宇库 / ② 租金库 / ③ 入驻库 / ④ 迁徙库 / ⑤ 产业标签库 / ⑥ 政策库 按既定更新频率回填。</w:t>
      </w:r>
    </w:p>
    <w:p>
      <w:r>
        <w:pict>
          <v:rect style="width:0;height:1.5pt" o:hralign="center" o:hrstd="t" o:hr="t"/>
        </w:pict>
      </w:r>
    </w:p>
    <w:p>
      <w:pPr>
        <w:pStyle w:val="BlockText"/>
      </w:pPr>
      <w:r>
        <w:t xml:space="preserve">易居房地产研究院 · 联合研发 ｜ 本报告定性研判基于公开市场认知与行业经验，定量结论以数据库实时回填为准。</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2026-06-16T22:41:53Z</dcterms:created>
  <dcterms:modified xsi:type="dcterms:W3CDTF">2026-06-16T22:41:53Z</dcterms:modified>
</cp:coreProperties>
</file>

<file path=docProps/custom.xml><?xml version="1.0" encoding="utf-8"?>
<Properties xmlns="http://schemas.openxmlformats.org/officeDocument/2006/custom-properties" xmlns:vt="http://schemas.openxmlformats.org/officeDocument/2006/docPropsVTypes"/>
</file>