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C4A35A"/>
          <w:sz w:val="20"/>
        </w:rPr>
        <w:t>香港大学经管学院上海中心  ×  联合策划方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/>
          <w:color w:val="003D2E"/>
          <w:sz w:val="44"/>
        </w:rPr>
        <w:t>外滩·产业课堂</w:t>
      </w:r>
    </w:p>
    <w:p>
      <w:pPr>
        <w:spacing w:after="160" w:before="0" w:line="276" w:lineRule="auto"/>
        <w:jc w:val="left"/>
      </w:pPr>
      <w:r>
        <w:rPr>
          <w:rFonts w:ascii="微软雅黑" w:hAnsi="微软雅黑" w:eastAsia="微软雅黑"/>
          <w:b w:val="0"/>
          <w:color w:val="5B6B64"/>
          <w:sz w:val="24"/>
        </w:rPr>
        <w:t>港大经管上海中心 × 上海产业 联合招生策划    V1.0 建议稿</w:t>
      </w:r>
    </w:p>
    <w:p>
      <w:pPr>
        <w:spacing w:after="16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2"/>
        </w:rPr>
        <w:t>不把外滩中心做成宣讲会会场，而做成可持续出 EMBA 生源的产业课堂：港大讲全球视野与学位通道，我方送进对的产业高管；先收一笔前期策划费，把 90 天和首场锁住。</w:t>
      </w:r>
    </w:p>
    <w:p>
      <w:pPr>
        <w:spacing w:after="80" w:before="40" w:line="276" w:lineRule="auto"/>
        <w:jc w:val="left"/>
      </w:pPr>
      <w:r>
        <w:rPr>
          <w:rFonts w:ascii="微软雅黑" w:hAnsi="微软雅黑" w:eastAsia="微软雅黑"/>
          <w:b/>
          <w:color w:val="003D2E"/>
          <w:sz w:val="26"/>
        </w:rPr>
        <w:t>思路</w:t>
      </w:r>
    </w:p>
    <w:p>
      <w:pPr>
        <w:spacing w:after="8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1"/>
        </w:rPr>
        <w:t>不做宣讲会外包。把招生嵌进产业闭门课：来的人谈产业，名单共管，会后由招生官一对一。录取权在港大。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1"/>
        </w:rPr>
        <w:t>· 产业闭门课：外滩 SOHO 半日闭门，30–40 名企业主/高管。港大 1 位师资或校友 + 我方 1 个产业议题。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1"/>
        </w:rPr>
        <w:t>· 定向名单共管：按 EMBA 门槛筛过的高管名单，双方共管、不转卖。会后 48 小时内完成意向分级。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1"/>
        </w:rPr>
        <w:t>· 会后一对一：A 类由潘老师直接约面；B 类纳入下期课堂；C 类进培育池。我方只做邀约与纪要，录取在港大。</w:t>
      </w:r>
    </w:p>
    <w:p>
      <w:pPr>
        <w:spacing w:after="80" w:before="160" w:line="276" w:lineRule="auto"/>
        <w:jc w:val="left"/>
      </w:pPr>
      <w:r>
        <w:rPr>
          <w:rFonts w:ascii="微软雅黑" w:hAnsi="微软雅黑" w:eastAsia="微软雅黑"/>
          <w:b/>
          <w:color w:val="003D2E"/>
          <w:sz w:val="26"/>
        </w:rPr>
        <w:t>合作怎么成立</w:t>
      </w:r>
    </w:p>
    <w:p>
      <w:pPr>
        <w:spacing w:after="8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1"/>
        </w:rPr>
        <w:t>前期联合策划服务费  人民币捌万捌仟元整（¥88,000）。协议生效后 10 个工作日内一次性支付。覆盖 90 天策划、不少于 80 人定向名单、首场闭门课（30–40 人）及会后纪要。</w:t>
      </w:r>
    </w:p>
    <w:p>
      <w:pPr>
        <w:spacing w:after="80" w:before="0" w:line="276" w:lineRule="auto"/>
        <w:jc w:val="left"/>
      </w:pPr>
      <w:r>
        <w:rPr>
          <w:rFonts w:ascii="微软雅黑" w:hAnsi="微软雅黑" w:eastAsia="微软雅黑"/>
          <w:b/>
          <w:color w:val="1A2420"/>
          <w:sz w:val="21"/>
        </w:rPr>
        <w:t>不碰学费分成，不承诺录取人数，第二场另签。</w:t>
      </w:r>
    </w:p>
    <w:p>
      <w:pPr>
        <w:spacing w:after="80" w:before="120" w:line="276" w:lineRule="auto"/>
        <w:jc w:val="left"/>
      </w:pPr>
      <w:r>
        <w:rPr>
          <w:rFonts w:ascii="微软雅黑" w:hAnsi="微软雅黑" w:eastAsia="微软雅黑"/>
          <w:b/>
          <w:color w:val="003D2E"/>
          <w:sz w:val="26"/>
        </w:rPr>
        <w:t>90 天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0"/>
        </w:rPr>
        <w:t>D0–D7  签约与到账  协议签署，前期费用到账；确认首场主题、日期、场地档期。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0"/>
        </w:rPr>
        <w:t>D8–D21  画像与名单  完成客群画像、邀约话术、首批 80 人定向名单初稿，双方书面确认。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0"/>
        </w:rPr>
        <w:t>D22–D45  首场执行  完成嘉宾、物料、签到与现场；会后 7 日交付纪要与分级名单。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0"/>
        </w:rPr>
        <w:t>D46–D90  固化复制  复盘首场转化，排出后两场议题日历；第二场起另签确认单。</w:t>
      </w:r>
    </w:p>
    <w:p>
      <w:pPr>
        <w:spacing w:after="80" w:before="120" w:line="276" w:lineRule="auto"/>
        <w:jc w:val="left"/>
      </w:pPr>
      <w:r>
        <w:rPr>
          <w:rFonts w:ascii="微软雅黑" w:hAnsi="微软雅黑" w:eastAsia="微软雅黑"/>
          <w:b/>
          <w:color w:val="003D2E"/>
          <w:sz w:val="26"/>
        </w:rPr>
        <w:t>下一步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1"/>
        </w:rPr>
        <w:t>1. 潘老师确认：首场主题窗口、场地档期、院内是否需法务/院务预审。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1"/>
        </w:rPr>
        <w:t>2. 我方按本稿出协议签署页（结算主体、账号、开票信息一次补齐）。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1A2420"/>
          <w:sz w:val="21"/>
        </w:rPr>
        <w:t>3. 费用到账后 7 日内提交客群画像与 80 人名单框架，进入首场倒排。</w:t>
      </w:r>
    </w:p>
    <w:p>
      <w:pPr>
        <w:spacing w:after="40" w:before="200" w:line="276" w:lineRule="auto"/>
        <w:jc w:val="left"/>
      </w:pPr>
      <w:r>
        <w:rPr>
          <w:rFonts w:ascii="微软雅黑" w:hAnsi="微软雅黑" w:eastAsia="微软雅黑"/>
          <w:b w:val="0"/>
          <w:color w:val="5B6B64"/>
          <w:sz w:val="18"/>
        </w:rPr>
        <w:t>致 潘嘉琰  招生官（华东 · EMBA）  (86) 180 1860 6086  jyanpan@hku.hk  上海市人民路336号 外滩SOHO F栋</w:t>
      </w:r>
    </w:p>
    <w:p>
      <w:pPr>
        <w:spacing w:after="0" w:before="0" w:line="276" w:lineRule="auto"/>
        <w:jc w:val="left"/>
      </w:pPr>
      <w:r>
        <w:rPr>
          <w:rFonts w:ascii="微软雅黑" w:hAnsi="微软雅黑" w:eastAsia="微软雅黑"/>
          <w:b w:val="0"/>
          <w:color w:val="5B6B64"/>
          <w:sz w:val="18"/>
        </w:rPr>
        <w:t>联合策划方：复旦大学住房政策研究中心、上海市杨浦区科技企业联合会</w:t>
      </w:r>
    </w:p>
    <w:sectPr w:rsidR="00FC693F" w:rsidRPr="0006063C" w:rsidSect="00034616">
      <w:pgSz w:w="11906" w:h="16838"/>
      <w:pgMar w:top="794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