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 w:line="312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泰隆银行上海分行与腾讯 WorkBuddy 合作推进情况汇报</w:t>
      </w:r>
    </w:p>
    <w:p>
      <w:pPr>
        <w:spacing w:after="40" w:before="0" w:line="312" w:lineRule="auto"/>
        <w:jc w:val="center"/>
      </w:pPr>
      <w:r>
        <w:rPr>
          <w:rFonts w:ascii="宋体" w:hAnsi="宋体" w:eastAsia="宋体" w:cs="宋体"/>
          <w:b/>
          <w:sz w:val="24"/>
        </w:rPr>
        <w:t>汇报对象：</w:t>
      </w:r>
      <w:r>
        <w:rPr>
          <w:rFonts w:ascii="宋体" w:hAnsi="宋体" w:eastAsia="宋体" w:cs="宋体"/>
          <w:b w:val="0"/>
          <w:sz w:val="24"/>
        </w:rPr>
        <w:t>泰隆银行上海分行行长</w:t>
      </w:r>
    </w:p>
    <w:p>
      <w:pPr>
        <w:spacing w:after="280" w:before="0" w:line="312" w:lineRule="auto"/>
        <w:jc w:val="center"/>
      </w:pPr>
      <w:r>
        <w:rPr>
          <w:rFonts w:ascii="宋体" w:hAnsi="宋体" w:eastAsia="宋体" w:cs="宋体"/>
          <w:b/>
          <w:sz w:val="24"/>
        </w:rPr>
        <w:t>汇报日期：</w:t>
      </w:r>
      <w:r>
        <w:rPr>
          <w:rFonts w:ascii="宋体" w:hAnsi="宋体" w:eastAsia="宋体" w:cs="宋体"/>
          <w:b w:val="0"/>
          <w:sz w:val="24"/>
        </w:rPr>
        <w:t>2026年8月3日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一、总体情况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我行已与腾讯 WorkBuddy 团队开展两轮业务洽谈。双方初步形成共识：以服务中小微企业为切入点，将企业级AI工具纳入我行客户权益体系，通过“积分商城兑换、开户赠礼、客户联合推广”等方式，为中小微客户提供差异化增值服务，助力我行新增对公客户、客户活跃及存款沉淀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目前，合作方向和基本模式已经明确，但采购规模、价格体系、技术开发、安全合规、结算开票及内部审批等事项仍需进一步论证。建议原则同意继续推进，先形成试点方案，经合规、科技、财务等部门评估后实施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二、合作背景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我行在上海经营约16年，已积累近100万客户，主要服务中小微企业。当前银行存款、贷款、理财、结算等传统产品同质化程度较高，单纯依靠利率、价格和担保方式较难形成明显差异。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行经营考核的核心之一是持续增加对公客户。客户数量扩大后，可进一步带动存款、贷款、结算、代发工资、理财等综合业务。因此，需要引入更贴近企业经营需求的非金融增值服务，提高开户吸引力和存量客户黏性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WorkBuddy定位为企业级AI应用及技能平台。据腾讯团队介绍，目前平台已有约2.8万家企业客户，企业版日活跃用户超过10万，可为企业提供内容生产、数据分析、知识管理、行业研究等AI应用。其企业版产品价格相对较低，适合作为中小微客户低成本体验AI应用的入口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三、拟议合作模式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（一）积分权益商城合作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由我行集中采购WorkBuddy账号、使用额度或兑换权益，上架我行积分权益商城，支持客户使用积分兑换或直接购买。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该模式能够丰富我行积分消耗场景，提高积分使用率。后续如WorkBuddy以商户形式入驻我行合作商城并在我行开立结算账户，相关交易资金可在我行体系内结算，有望形成一定的资金沉淀和结算业务。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具体商城主体、资金路径、账户开立及收入结算方式，仍需财务、法务及商城运营方进一步确认。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（二）开户及客户拜访赠礼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客户经理在拓展新客户或维护重点客户时，可将一定期限的WorkBuddy企业账号或AI使用额度作为增值权益赠送，替代部分传统实物礼品。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客户取得兑换码后，可扫码注册并输入License，自助完成激活，原则上不需要客户经理人工开通和维护。该方式具有一定的新颖性和实用性，可用于提升客户拜访体验和开户转化率。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（三）联合推广中小微客户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依托我行线下网点、客户经理、电销及面销团队，面向现有中小微客户推广WorkBuddy。腾讯团队负责产品、技术及使用支持，我行负责客户触达和场景组织。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我行上海地区拥有130余个经营网点，并具备较强的客户经理和地推能力，可先选择制造业、商贸服务业等AI需求相对明确的客群进行试点。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（四）后续延伸方向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如首期合作效果较好，可进一步研究：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在WorkBuddy技能平台开设“泰隆银行专区”，展示我行结算、融资、国际业务及财资管理等服务入口。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根据不同行业客户需求，联合开发企业经营类AI技能。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将客户对AI工具的需求与我行开户、结算、代发工资等金融服务进一步结合。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四、采购方案设想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腾讯团队在第二轮沟通中提出，可以围绕较大规模合作设计季度或半年度套餐，不采用单个账号按198元零散销售的模式。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目前讨论中的框架为：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总体合作规模可按最高约1,500万元进行方案设计；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分三阶段推进，每阶段约500万元；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首期金额可在300万至500万元范围内研究；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根据实际兑换率、激活率、客户使用率及新增客户效果，决定后续采购规模。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需要说明的是，1,500万元属于谈判过程中的方案设想，尚未形成我行正式预算或采购承诺。首期采购金额也应以内部立项、采购审批、价格谈判及试点测算结果为准。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建议腾讯团队至少提供300万元、500万元两个首期档位，并分别说明：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可采购的账号、License及Token数量；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权益有效期及激活后的使用期限；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阶梯折扣及价格保护机制；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未激活权益的处理方式；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后续扩容、续费及退款规则；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三阶段付款条件和验收标准。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五、预期价值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1. 带动新增对公客户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将AI工具作为开户或客户拜访权益，有望形成区别于同业传统礼品和金融产品的服务特色，提高客户接触和开户转化效果。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2. 提升存量客户黏性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通过积分兑换和企业AI服务，增加我行与企业老板、财务及经营管理人员的互动触点，为后续存款、贷款、结算等业务创造机会。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3. 促进积分活跃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AI账号及使用额度可丰富现有视频会员、生活消费类权益之外的企业服务权益，提高企业客户积分使用意愿。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4. 带动结算与资金沉淀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如商城交易、商户结算及后续续费资金通过我行账户完成，可形成结算流水和一定的资金沉淀。实际规模需结合交易路径进一步测算。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5. 形成科技服务品牌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通过与腾讯团队开展AI服务合作，有利于塑造我行“金融服务+企业经营赋能”的品牌形象，强化我行服务中小微企业的市场特色。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六、风险及待解决事项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（一）安全合规风险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WorkBuddy目前拟采用公有云SaaS模式，主要面向我行外部企业客户，不接入我行内部网络，也不获取我行内部系统权限。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但客户对话内容、企业资料、管理员日志权限等仍涉及数据安全和隐私保护，不能仅凭商务沟通认定合规。正式实施前，应由我行法务、合规、信息科技和数据安全部门开展专项审查，明确：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数据采集范围、存储地点和保存期限；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企业租户之间的数据隔离机制；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腾讯及平台管理员的数据访问权限；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对话日志的开启、关闭、导出和删除规则；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数据泄露后的责任承担和应急机制；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• 客户授权、隐私政策及风险提示方式。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首期建议仅用于外部客户权益，不用于处理我行内部数据、客户敏感信息或核心业务信息。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（二）采购及成本风险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目前大额采购方案主要基于我行客户规模和推广能力，尚缺少实际兑换率、激活率、持续使用率及获客转化率数据。若一次性采购规模过大，可能出现权益闲置。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建议采用分期采购、分批交付和效果验收机制，并约定未激活License的有效期、替换及顺延政策。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（三）技术交付风险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批量兑换码生成、客户自主注册、实名认证、分组管理、额度充值、续费及停用等功能仍需腾讯技术团队确认现有能力及开发周期。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在正式采购前，应完成完整流程测试，确保百万级客户触达情况下系统能够稳定运行。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（四）结算及税务风险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商城运营主体、采购发票类型、客户购买发票、腾讯与商城运营方的结算关系仍在沟通。应由财务、税务及法务部门确认资金链路和开票安排后再落地。</w:t>
      </w:r>
    </w:p>
    <w:p>
      <w:pPr>
        <w:spacing w:after="120" w:before="200" w:line="312" w:lineRule="auto"/>
        <w:jc w:val="left"/>
      </w:pPr>
      <w:r>
        <w:rPr>
          <w:rFonts w:ascii="黑体" w:hAnsi="黑体" w:eastAsia="黑体" w:cs="黑体"/>
          <w:b/>
          <w:sz w:val="24"/>
        </w:rPr>
        <w:t>（五）宣传口径风险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“腾讯联合产品”“行业首创”等表述需取得对方正式品牌授权并经过我行宣传审核，避免因品牌使用或效果承诺不准确产生风险。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七、两轮谈判形成的初步共识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1. 优先推进积分商城兑换和开户赠礼两类场景。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2. 原则上采用兑换码或License方式，实现客户自主注册激活。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3. 暂不印制实体卡，待确定电子卡或纸质卡形式后再安排。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4. 采购方案按照季度或半年度套餐及阶梯价格设计。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5. 腾讯团队提供包含账号、Token、价格、付款节奏及技术交付的完整方案。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6. 双方暂定于8月5日（周三）下午与分行领导进一步沟通。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7. 如条件成熟，优先在上海选择部分客户开展试点，再根据效果扩大范围。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八、建议行长决策事项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建议本次重点请示四项：</w:t>
      </w:r>
    </w:p>
    <w:p>
      <w:pPr>
        <w:spacing w:after="40" w:before="80" w:line="312" w:lineRule="auto"/>
        <w:jc w:val="left"/>
      </w:pPr>
      <w:r>
        <w:rPr>
          <w:rFonts w:ascii="宋体" w:hAnsi="宋体" w:eastAsia="宋体" w:cs="宋体"/>
          <w:b/>
          <w:sz w:val="24"/>
        </w:rPr>
        <w:t>1. 是否原则同意继续推进。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建议同意将该项目作为中小微客户增值服务创新方向继续论证。</w:t>
      </w:r>
    </w:p>
    <w:p>
      <w:pPr>
        <w:spacing w:after="40" w:before="80" w:line="312" w:lineRule="auto"/>
        <w:jc w:val="left"/>
      </w:pPr>
      <w:r>
        <w:rPr>
          <w:rFonts w:ascii="宋体" w:hAnsi="宋体" w:eastAsia="宋体" w:cs="宋体"/>
          <w:b/>
          <w:sz w:val="24"/>
        </w:rPr>
        <w:t>2. 是否同意开展上海地区试点。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建议选取部分网点、客户经理和目标行业开展首期试点，设定明确的兑换、激活、使用及获客指标。</w:t>
      </w:r>
    </w:p>
    <w:p>
      <w:pPr>
        <w:spacing w:after="40" w:before="80" w:line="312" w:lineRule="auto"/>
        <w:jc w:val="left"/>
      </w:pPr>
      <w:r>
        <w:rPr>
          <w:rFonts w:ascii="宋体" w:hAnsi="宋体" w:eastAsia="宋体" w:cs="宋体"/>
          <w:b/>
          <w:sz w:val="24"/>
        </w:rPr>
        <w:t>3. 是否同意启动跨部门评估。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建议明确牵头部门，并组织公司金融、零售权益、科技、合规、法务、财务和采购等部门共同评估。</w:t>
      </w:r>
    </w:p>
    <w:p>
      <w:pPr>
        <w:spacing w:after="40" w:before="80" w:line="312" w:lineRule="auto"/>
        <w:jc w:val="left"/>
      </w:pPr>
      <w:r>
        <w:rPr>
          <w:rFonts w:ascii="宋体" w:hAnsi="宋体" w:eastAsia="宋体" w:cs="宋体"/>
          <w:b/>
          <w:sz w:val="24"/>
        </w:rPr>
        <w:t>4. 是否授权继续开展商务谈判。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建议以最高1,500万元作为方案测算框架，不作为采购承诺；首期规模在腾讯提供完整报价和试点测算后另行审批。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九、下一步工作建议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1. 要求腾讯团队在8月5日会谈前提交完整的产品及商务方案。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2. 明确首期300万元、500万元两个采购档位及对应权益。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3. 完成兑换码、注册、激活、分组、续费和数据管理的流程演示。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4. 启动法务、合规、科技、财务和采购预审。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5. 设计首期试点方案，明确目标客户、试点网点和量化指标。</w:t>
      </w:r>
    </w:p>
    <w:p>
      <w:pPr>
        <w:spacing w:after="60" w:before="0" w:line="336" w:lineRule="auto"/>
        <w:ind w:firstLine="210"/>
        <w:jc w:val="left"/>
      </w:pPr>
      <w:r>
        <w:rPr>
          <w:rFonts w:ascii="宋体" w:hAnsi="宋体" w:eastAsia="宋体" w:cs="宋体"/>
          <w:b w:val="0"/>
          <w:sz w:val="24"/>
        </w:rPr>
        <w:t>6. 将后续采购与试点效果挂钩，达到约定指标后再启动第二、三阶段采购。</w:t>
      </w:r>
    </w:p>
    <w:p>
      <w:pPr>
        <w:spacing w:after="160" w:before="280" w:line="312" w:lineRule="auto"/>
        <w:jc w:val="left"/>
      </w:pPr>
      <w:r>
        <w:rPr>
          <w:rFonts w:ascii="黑体" w:hAnsi="黑体" w:eastAsia="黑体" w:cs="黑体"/>
          <w:b/>
          <w:color w:val="0B2F5B"/>
          <w:sz w:val="28"/>
        </w:rPr>
        <w:t>十、汇报结论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总体看，该合作与我行服务中小微企业、增加对公客户和建设差异化增值服务的方向较为契合，双方资源具有互补性，具备进一步推进价值。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但目前仍处于商务方案和可行性论证阶段，尤其是大额采购依据、安全合规、技术交付、结算开票及客户转化效果尚未完全确定。</w:t>
      </w:r>
    </w:p>
    <w:p>
      <w:pPr>
        <w:spacing w:after="200" w:before="160" w:line="360" w:lineRule="auto"/>
        <w:ind w:firstLine="420"/>
        <w:jc w:val="left"/>
      </w:pPr>
      <w:r>
        <w:rPr>
          <w:rFonts w:ascii="黑体" w:hAnsi="黑体" w:eastAsia="黑体" w:cs="黑体"/>
          <w:b/>
          <w:color w:val="0B2F5B"/>
          <w:sz w:val="24"/>
        </w:rPr>
        <w:t>建议行长原则同意立项论证并授权继续谈判，先试点、后扩量，以实际客户转化和使用效果作为后续采购依据。</w:t>
      </w:r>
    </w:p>
    <w:p>
      <w:pPr>
        <w:spacing w:after="80" w:before="160" w:line="360" w:lineRule="auto"/>
        <w:jc w:val="left"/>
      </w:pPr>
      <w:r>
        <w:rPr>
          <w:rFonts w:ascii="黑体" w:hAnsi="黑体" w:eastAsia="黑体" w:cs="黑体"/>
          <w:b/>
          <w:sz w:val="24"/>
        </w:rPr>
        <w:t>口头汇报一句话概括：</w:t>
      </w:r>
    </w:p>
    <w:p>
      <w:pPr>
        <w:spacing w:after="120" w:before="0" w:line="360" w:lineRule="auto"/>
        <w:ind w:firstLine="420"/>
        <w:jc w:val="left"/>
      </w:pPr>
      <w:r>
        <w:rPr>
          <w:rFonts w:ascii="宋体" w:hAnsi="宋体" w:eastAsia="宋体" w:cs="宋体"/>
          <w:b w:val="0"/>
          <w:sz w:val="24"/>
        </w:rPr>
        <w:t>两轮洽谈后，双方已明确以“积分商城兑换+开户赠送AI权益”为主要合作方向，项目有助于增加对公客户和提升客户黏性；建议原则同意推进，但1,500万元目前只是方案框架，需先完成合规审查和小范围试点，再根据实际效果分阶段采购。</w:t>
      </w:r>
    </w:p>
    <w:sectPr w:rsidR="00FC693F" w:rsidRPr="0006063C" w:rsidSect="00034616">
      <w:pgSz w:w="11906" w:h="16838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