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40"/>
            </w:pPr>
            <w:r>
              <w:rPr>
                <w:rFonts w:ascii="微软雅黑" w:hAnsi="微软雅黑" w:eastAsia="微软雅黑"/>
                <w:b/>
                <w:color w:val="E8D5A3"/>
                <w:sz w:val="22"/>
              </w:rPr>
              <w:t>国资平台 · 城市更新 / 存量收并购 / 产业不动产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D5DEE8"/>
                <w:sz w:val="20"/>
              </w:rPr>
              <w:t>副教授级高级工程师 ｜ 复旦大学硕士研究生 ｜ 原万科上海区域投资副总经理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现任复旦大学住房政策研究中心秘书长  ｜  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1987 年生  ｜  九三学社  ｜  上海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一线投拓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10 年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万科团队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约 8 人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靖江 + 金坛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43 亿</w:t>
            </w:r>
          </w:p>
        </w:tc>
        <w:tc>
          <w:tcPr>
            <w:tcW w:type="dxa" w:w="2580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5C6670"/>
                <w:sz w:val="17"/>
              </w:rPr>
              <w:t>新进城市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142B4A"/>
                <w:sz w:val="24"/>
              </w:rPr>
              <w:t>盐城 / 台州 / 金坛</w:t>
            </w:r>
          </w:p>
        </w:tc>
      </w:tr>
    </w:tbl>
    <w:p>
      <w:pPr>
        <w:spacing w:before="160" w:after="40" w:line="283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万科上海区域投资副总经理。2011–2021 年一线投拓，做成国资合作、政府代建、不良盘活、轻资产委管与物流园落地。2021 年起任复旦大学住房政策研究中心秘书长，研究城市更新与存量资产；租赁住房为研究方向，不是操盘业绩。一线投资计至 2021 年。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现任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秘书长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围绕城市更新、存量资产开展政策与产业研究，为政府和企业提供决策支持。租赁住房为研究方向。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2025.05「全球新经济增长引擎峰会」：主办方代表发言，并与竺劲、汪毅、王维军圆桌（人民网上海、中新社上海点名）。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2025.05.28 以中心秘书长出席上海市工商联房地产商会资管分会成立（上海德必）。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2024.06 主持锦天城「他山之石——中国投资者的海外不动产战略布局」。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代表案例 · 存量商业空间产业导入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北欧创新国际会客厅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共同发起 / 落地杨浦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2026.03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杨浦宝龙旭辉广场环创中心。宝龙商办为共同发起单位，不是雇主。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复旦大学住房政策研究中心、杨浦区科技企业联合会与宝龙商办等共同发起，将国际创新合作平台导入存量商业空间。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公开报道点名会长王晓明、执行会长胡继刚（杨浦区政府官网等）。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社会职务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杨浦区科技企业联合会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执行会长</w:t>
            </w:r>
          </w:p>
        </w:tc>
        <w:tc>
          <w:tcPr>
            <w:tcW w:type="dxa" w:w="5159"/>
            <w:shd w:fill="F3F6FA" w:val="clear"/>
            <w:tcBorders>
              <w:top w:val="single" w:sz="4" w:color="D5DDE8" w:space="0"/>
              <w:left w:val="single" w:sz="4" w:color="D5DDE8" w:space="0"/>
              <w:bottom w:val="single" w:sz="4" w:color="D5DDE8" w:space="0"/>
              <w:right w:val="single" w:sz="4" w:color="D5DDE8" w:space="0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top"/>
          </w:tcPr>
          <w:p>
            <w:r/>
          </w:p>
          <w:p>
            <w:pPr>
              <w:spacing w:after="2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复旦不动产资管协会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5C6670"/>
                <w:sz w:val="16"/>
              </w:rPr>
              <w:t>创始人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万科企业股份有限公司 · 上海区域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江浙事业部投资副总经理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上海。汇报投资合作开发部总经理。团队约 8 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镇江大港金域蓝湾：收并购，与大港集团各半合作（约 199 亩 / 32 万方）。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嘉兴海宁商住：政府代建落地（18.53 亿元 / 约 23 万㎡）。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上海龙湖滟澜山：法拍不良资产盘活（测算 IRR 约 16.16%）。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靖江印象城：勾地后引入印力轻资产委管（约 15 亿元 / 556 亩 / 自持购物中心约 7 万方）；金坛理想城底价收并购（约 28.05 亿元 / 561 亩）。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主导获取并落地万纬嘉兴平湖、上海奉贤南桥冷链物流园；推动进入盐城、台州、常州金坛。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专业经历（续）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 · 总部战略投资中心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投资拓展资深专业经理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负责山东、江苏等区域战略布局与土地获取。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主导临沂新城吾悦广场勾地，对接市级重点招商政策，系集团首进山东的重资产项目。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以轻资产模式获取青岛新城吾悦广场（品牌输出 + 委管，约 13.68 万㎡）。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上海 / 南通。2011.06–2012.10 总裁办战略企划；其后新项目发展中心。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从集团战略企划到项目投资拓展的完整历练；获取如皋中南世纪城、苏州中南锦苑。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江阴白鹭湾与碧桂园同股同权合作。2014 年底派驻四川任西南拓展负责人。</w:t>
      </w:r>
    </w:p>
    <w:p>
      <w:pPr>
        <w:spacing w:before="0" w:after="30" w:line="269" w:lineRule="auto"/>
        <w:ind w:left="181" w:hanging="181"/>
      </w:pPr>
      <w:r>
        <w:rPr>
          <w:rFonts w:ascii="微软雅黑" w:hAnsi="微软雅黑" w:eastAsia="微软雅黑"/>
          <w:b w:val="0"/>
          <w:color w:val="2C333A"/>
          <w:sz w:val="19"/>
        </w:rPr>
        <w:t>•  推进美国养老、日本永旺等国际合作对接（推进中，非已签约落地）。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代表项目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做法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142B4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规模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国资合作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收并购，与大港集团各半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199 亩 / 32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政府代建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代建落地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18.53 亿 / 约 23 万㎡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不良盘活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法拍收并购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测算 IRR 约 16.16%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靖江印象城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勾地 + 印力委管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15 亿 / 556 亩 / 购物中心约 7 万方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南桥 / 平湖冷链园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产业园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获取落地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物流园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金坛理想城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收并购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底价获取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28.05 亿 / 561 亩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政府招商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对接市级重点招商政策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集团首进山东</w:t>
            </w:r>
          </w:p>
        </w:tc>
      </w:tr>
      <w:tr>
        <w:tc>
          <w:tcPr>
            <w:tcW w:type="dxa" w:w="2608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青岛新城吾悦广场</w:t>
            </w:r>
          </w:p>
        </w:tc>
        <w:tc>
          <w:tcPr>
            <w:tcW w:type="dxa" w:w="1587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轻资产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品牌输出 + 委管</w:t>
            </w:r>
          </w:p>
        </w:tc>
        <w:tc>
          <w:tcPr>
            <w:tcW w:type="dxa" w:w="3061"/>
            <w:tcBorders>
              <w:top w:val="single" w:sz="6" w:color="D5DDE8" w:space="0"/>
              <w:left w:val="single" w:sz="6" w:color="D5DDE8" w:space="0"/>
              <w:bottom w:val="single" w:sz="6" w:color="D5DDE8" w:space="0"/>
              <w:right w:val="single" w:sz="6" w:color="D5DDE8" w:space="0"/>
            </w:tcBorders>
            <w:tcMar>
              <w:top w:w="35" w:type="dxa"/>
              <w:left w:w="50" w:type="dxa"/>
              <w:bottom w:w="35" w:type="dxa"/>
              <w:right w:w="50" w:type="dxa"/>
            </w:tcMar>
            <w:shd w:fill="F3F6FA" w:val="clear"/>
          </w:tcPr>
          <w:p>
            <w:r/>
          </w:p>
          <w:p>
            <w:pPr>
              <w:spacing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C333A"/>
                <w:sz w:val="16"/>
              </w:rPr>
              <w:t>约 13.68 万㎡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教育背景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硕士研究生 · 工商管理（财务金融方向）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2018.09 – 2021.06</w:t>
            </w:r>
          </w:p>
        </w:tc>
      </w:tr>
    </w:tbl>
    <w:p>
      <w:pPr>
        <w:spacing w:before="20" w:after="6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在职攻读，与万科上海区域任职并行。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143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中国海洋大学</w:t>
            </w:r>
            <w:r>
              <w:rPr>
                <w:rFonts w:ascii="微软雅黑" w:hAnsi="微软雅黑" w:eastAsia="微软雅黑"/>
                <w:b w:val="0"/>
                <w:color w:val="5C6670"/>
                <w:sz w:val="19"/>
              </w:rPr>
              <w:t xml:space="preserve">  |  土木工程 · 工学学士</w:t>
            </w:r>
          </w:p>
        </w:tc>
        <w:tc>
          <w:tcPr>
            <w:tcW w:type="dxa" w:w="2835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2007.09 – 2011.07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资质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副教授级高级工程师；会计师中级；IELTS 6.0；上海市人才引进认证资质。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2C333A"/>
          <w:sz w:val="19"/>
        </w:rPr>
        <w:t>论文《万科物流地产平台业务发展战略研究》。实用新型专利 2 项（建筑工程管理用功能脚架、防护围栏）。</w:t>
      </w:r>
    </w:p>
    <w:p>
      <w:pPr>
        <w:spacing w:before="80" w:after="0" w:line="269" w:lineRule="auto"/>
      </w:pPr>
      <w:r>
        <w:rPr>
          <w:rFonts w:ascii="微软雅黑" w:hAnsi="微软雅黑" w:eastAsia="微软雅黑"/>
          <w:b w:val="0"/>
          <w:color w:val="5C6670"/>
          <w:sz w:val="18"/>
        </w:rPr>
        <w:t>投递方向：国资平台 · 城市更新 / 存量收并购 / 产业不动产。能力：国资合作、政府代建、不良盘活、轻资产委管、产业园落地。租赁住房为研究方向。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