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微软雅黑" w:cs="Calibri"/>
          <w:b/>
          <w:color w:val="1B3A5F"/>
          <w:sz w:val="40"/>
        </w:rPr>
        <w:t>CGC领事会客厅合作方案修改建议</w:t>
      </w:r>
    </w:p>
    <w:p>
      <w:pPr>
        <w:spacing w:after="240"/>
        <w:jc w:val="center"/>
      </w:pPr>
      <w:r>
        <w:rPr>
          <w:rFonts w:ascii="Calibri" w:hAnsi="Calibri" w:eastAsia="微软雅黑" w:cs="Calibri"/>
          <w:b w:val="0"/>
          <w:color w:val="4A4A4A"/>
          <w:sz w:val="22"/>
        </w:rPr>
        <w:t>森马上海国际运营中心  ·  创智汇  ·  尚9·一滴水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微软雅黑" w:cs="Calibri"/>
          <w:b/>
          <w:color w:val="1B3A5F"/>
          <w:sz w:val="32"/>
        </w:rPr>
        <w:t>一、总体反馈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微软雅黑" w:cs="Calibri"/>
          <w:b w:val="0"/>
          <w:color w:val="1A1A1A"/>
          <w:sz w:val="22"/>
        </w:rPr>
        <w:t>感谢提供森马、创智汇及尚9·一滴水三份合作方案。整体合作思路有吸引力，也结合不同场景做了定位：CGC提供领事、海外商协会和企业网络，合作方提供场地、企业组织或餐饮场景；免费沙龙解决基础信息需求，深度出海服务再市场化收费。三个场景的差异化方向也已成形——森马侧重潮玩与IP，创智汇侧重数字科创，一滴水侧重中阿商务宴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6E8" w:val="clear"/>
            <w:tcBorders>
              <w:top w:val="single" w:sz="4" w:space="0" w:color="E8C48A"/>
              <w:left w:val="single" w:sz="4" w:space="0" w:color="E8C48A"/>
              <w:bottom w:val="single" w:sz="4" w:space="0" w:color="E8C48A"/>
              <w:right w:val="single" w:sz="4" w:space="0" w:color="E8C48A"/>
            </w:tcBorders>
          </w:tcPr>
          <w:p>
            <w:pPr>
              <w:spacing w:before="120" w:after="80"/>
            </w:pPr>
            <w:r/>
            <w:r>
              <w:rPr>
                <w:rFonts w:ascii="Calibri" w:hAnsi="Calibri" w:eastAsia="微软雅黑" w:cs="Calibri"/>
                <w:b/>
                <w:color w:val="B85C00"/>
                <w:sz w:val="24"/>
              </w:rPr>
              <w:t>下一版请把方案写成可评估、可验收的实施方案</w:t>
            </w:r>
          </w:p>
          <w:p>
            <w:pPr>
              <w:spacing w:after="120" w:line="312" w:lineRule="auto"/>
            </w:pPr>
            <w:r>
              <w:rPr>
                <w:rFonts w:ascii="Calibri" w:hAnsi="Calibri" w:eastAsia="微软雅黑" w:cs="Calibri"/>
                <w:b w:val="0"/>
                <w:color w:val="1A1A1A"/>
                <w:sz w:val="22"/>
              </w:rPr>
              <w:t>当前文本更接近资源合作提案，还不是完整策划案。建议在补齐双方投入、具体交付、验收方式和预算之前，暂不作为签约、拨款或启动装修的依据。下一版重点把“谁投入什么、交付什么、如何验收”写实，方便各方内部评估和推进。</w:t>
            </w:r>
          </w:p>
        </w:tc>
      </w:tr>
    </w:tbl>
    <w:p>
      <w:pPr>
        <w:spacing w:after="120"/>
      </w:pPr>
    </w:p>
    <w:p>
      <w:pPr>
        <w:spacing w:before="0" w:after="120"/>
        <w:ind w:firstLine="0"/>
      </w:pPr>
      <w:r>
        <w:rPr>
          <w:rFonts w:ascii="Calibri" w:hAnsi="Calibri" w:eastAsia="微软雅黑" w:cs="Calibri"/>
          <w:b w:val="0"/>
          <w:color w:val="4A4A4A"/>
          <w:sz w:val="18"/>
        </w:rPr>
        <w:t>表1  建议的合作定位（供下一版按场景分别撰写，不必三案齐推）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3175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建议定位</w:t>
            </w:r>
          </w:p>
        </w:tc>
        <w:tc>
          <w:tcPr>
            <w:tcW w:type="dxa" w:w="4649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建议节奏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创智汇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最适合作为长期产业旗舰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先借用现有会议空间试点，不立即装修或交付专属场地</w:t>
            </w:r>
          </w:p>
        </w:tc>
      </w:tr>
      <w:tr>
        <w:tc>
          <w:tcPr>
            <w:tcW w:type="dxa" w:w="158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森马</w:t>
            </w:r>
          </w:p>
        </w:tc>
        <w:tc>
          <w:tcPr>
            <w:tcW w:type="dxa" w:w="3175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适合潮玩、IP垂直基地，但专属场地条件尚未成熟</w:t>
            </w:r>
          </w:p>
        </w:tc>
        <w:tc>
          <w:tcPr>
            <w:tcW w:type="dxa" w:w="4649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先用现有或可交付公共空间试运营，再决定是否交付 300—500㎡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一滴水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最适合低成本活动型试点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先做 3—6 个月、3—5 场按场次合作，挂牌费分期并与履约挂钩</w:t>
            </w:r>
          </w:p>
        </w:tc>
      </w:tr>
    </w:tbl>
    <w:p>
      <w:pPr>
        <w:spacing w:after="160"/>
      </w:pP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微软雅黑" w:cs="Calibri"/>
          <w:b/>
          <w:color w:val="1B3A5F"/>
          <w:sz w:val="32"/>
        </w:rPr>
        <w:t>二、三份方案请统一补齐的内容</w:t>
      </w:r>
    </w:p>
    <w:p>
      <w:pPr>
        <w:spacing w:before="240" w:after="160"/>
        <w:ind w:firstLine="0"/>
      </w:pPr>
      <w:r>
        <w:rPr>
          <w:rFonts w:ascii="Calibri" w:hAnsi="Calibri" w:eastAsia="微软雅黑" w:cs="Calibri"/>
          <w:b/>
          <w:color w:val="1B3A5F"/>
          <w:sz w:val="26"/>
        </w:rPr>
        <w:t>（一）合作主体、授权与可核验业绩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微软雅黑" w:cs="Calibri"/>
          <w:b w:val="0"/>
          <w:color w:val="1A1A1A"/>
          <w:sz w:val="22"/>
        </w:rPr>
        <w:t>请补充 CGC 签约及运营主体材料，便于合作方法务和财务内部评估。活动存在可以说明平台有过公开痕迹，但不能替代法律主体、履约能力和转化案例的尽调。请勿把“认识领事”直接等同于可承诺的商业资源。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主体：</w:t>
      </w:r>
      <w:r>
        <w:rPr>
          <w:rFonts w:ascii="Calibri" w:hAnsi="Calibri" w:eastAsia="微软雅黑" w:cs="Calibri"/>
          <w:b w:val="0"/>
          <w:color w:val="1A1A1A"/>
          <w:sz w:val="22"/>
        </w:rPr>
        <w:t>签约法人全称、统一社会信用代码、开票及收款主体。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授权：</w:t>
      </w:r>
      <w:r>
        <w:rPr>
          <w:rFonts w:ascii="Calibri" w:hAnsi="Calibri" w:eastAsia="微软雅黑" w:cs="Calibri"/>
          <w:b w:val="0"/>
          <w:color w:val="1A1A1A"/>
          <w:sz w:val="22"/>
        </w:rPr>
        <w:t>“CGC / 领事会客厅”品牌权属证明及对合作方的授权范围、期限和终止后的拆除义务。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团队：</w:t>
      </w:r>
      <w:r>
        <w:rPr>
          <w:rFonts w:ascii="Calibri" w:hAnsi="Calibri" w:eastAsia="微软雅黑" w:cs="Calibri"/>
          <w:b w:val="0"/>
          <w:color w:val="1A1A1A"/>
          <w:sz w:val="22"/>
        </w:rPr>
        <w:t>专职团队名单、岗位分工和对接人。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业绩：</w:t>
      </w:r>
      <w:r>
        <w:rPr>
          <w:rFonts w:ascii="Calibri" w:hAnsi="Calibri" w:eastAsia="微软雅黑" w:cs="Calibri"/>
          <w:b w:val="0"/>
          <w:color w:val="1A1A1A"/>
          <w:sz w:val="22"/>
        </w:rPr>
        <w:t>近三年可核验活动清单（时间、主题、嘉宾层级、参会规模、形成的书面成果）。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转化：</w:t>
      </w:r>
      <w:r>
        <w:rPr>
          <w:rFonts w:ascii="Calibri" w:hAnsi="Calibri" w:eastAsia="微软雅黑" w:cs="Calibri"/>
          <w:b w:val="0"/>
          <w:color w:val="1A1A1A"/>
          <w:sz w:val="22"/>
        </w:rPr>
        <w:t>领事或领馆商务人员实际出席的证明材料；客户案例及项目转化数据（线索、复谈、MOU 或成交，可脱敏）。</w:t>
      </w:r>
    </w:p>
    <w:p>
      <w:pPr>
        <w:spacing w:before="240" w:after="160"/>
        <w:ind w:firstLine="0"/>
      </w:pPr>
      <w:r>
        <w:rPr>
          <w:rFonts w:ascii="Calibri" w:hAnsi="Calibri" w:eastAsia="微软雅黑" w:cs="Calibri"/>
          <w:b/>
          <w:color w:val="1B3A5F"/>
          <w:sz w:val="26"/>
        </w:rPr>
        <w:t>（二）年度交付、职责与可验收指标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微软雅黑" w:cs="Calibri"/>
          <w:b w:val="0"/>
          <w:color w:val="1A1A1A"/>
          <w:sz w:val="22"/>
        </w:rPr>
        <w:t>现稿对合作方投入写得很重（免租空间、全额装修、公用费用、每年 10 万元及额外活动预算，或餐厅挂牌费加免费场地），对 CGC 的表述多为“开展、协助、导入、促成、优先落地”，缺少最低活动数、嘉宾标准、有效线索数和转化结果。请明确年度活动场次、服务企业数量、有效项目线索认定标准、会后跟进机制，以及双方项目负责人和职责分工，使场地、装修和经费投入有对应的交付和验收标准。</w:t>
      </w:r>
    </w:p>
    <w:p>
      <w:pPr>
        <w:spacing w:before="0" w:after="120"/>
        <w:ind w:firstLine="0"/>
      </w:pPr>
      <w:r>
        <w:rPr>
          <w:rFonts w:ascii="Calibri" w:hAnsi="Calibri" w:eastAsia="微软雅黑" w:cs="Calibri"/>
          <w:b w:val="0"/>
          <w:color w:val="4A4A4A"/>
          <w:sz w:val="18"/>
        </w:rPr>
        <w:t>表2  建议写入下一版的可验收指标（可按场景微调，但须有数字、定义和统计口径）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855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建议写法</w:t>
            </w:r>
          </w:p>
        </w:tc>
        <w:tc>
          <w:tcPr>
            <w:tcW w:type="dxa" w:w="3628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验收材料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对公活动场次</w:t>
            </w:r>
          </w:p>
        </w:tc>
        <w:tc>
          <w:tcPr>
            <w:tcW w:type="dxa" w:w="385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试点期和年度分别列出最低场次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活动通知、签到、纪要、现场照片</w:t>
            </w:r>
          </w:p>
        </w:tc>
      </w:tr>
      <w:tr>
        <w:tc>
          <w:tcPr>
            <w:tcW w:type="dxa" w:w="192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嘉宾标准</w:t>
            </w:r>
          </w:p>
        </w:tc>
        <w:tc>
          <w:tcPr>
            <w:tcW w:type="dxa" w:w="3855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领事/领馆商务人员、商协会负责人、企业决策人的场次或比例</w:t>
            </w:r>
          </w:p>
        </w:tc>
        <w:tc>
          <w:tcPr>
            <w:tcW w:type="dxa" w:w="362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嘉宾名单及身份说明（可脱敏）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服务企业数量</w:t>
            </w:r>
          </w:p>
        </w:tc>
        <w:tc>
          <w:tcPr>
            <w:tcW w:type="dxa" w:w="385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公益场覆盖家次；深度服务另计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报名表、参会企业清单</w:t>
            </w:r>
          </w:p>
        </w:tc>
      </w:tr>
      <w:tr>
        <w:tc>
          <w:tcPr>
            <w:tcW w:type="dxa" w:w="192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有效线索</w:t>
            </w:r>
          </w:p>
        </w:tc>
        <w:tc>
          <w:tcPr>
            <w:tcW w:type="dxa" w:w="3855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有主体、有对接意向、有跟进人的条目数</w:t>
            </w:r>
          </w:p>
        </w:tc>
        <w:tc>
          <w:tcPr>
            <w:tcW w:type="dxa" w:w="362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线索台账，定期抄送合作方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复谈 / MOU / 成交</w:t>
            </w:r>
          </w:p>
        </w:tc>
        <w:tc>
          <w:tcPr>
            <w:tcW w:type="dxa" w:w="385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会后 30 日内复谈数；书面意向或成交另列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跟进记录、意向书（可脱敏）</w:t>
            </w:r>
          </w:p>
        </w:tc>
      </w:tr>
      <w:tr>
        <w:tc>
          <w:tcPr>
            <w:tcW w:type="dxa" w:w="192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招商或项目导入</w:t>
            </w:r>
          </w:p>
        </w:tc>
        <w:tc>
          <w:tcPr>
            <w:tcW w:type="dxa" w:w="3855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优先导流的规则、条数和权属</w:t>
            </w:r>
          </w:p>
        </w:tc>
        <w:tc>
          <w:tcPr>
            <w:tcW w:type="dxa" w:w="362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月报；线索去向书面同步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宴会或场地增量</w:t>
            </w:r>
          </w:p>
        </w:tc>
        <w:tc>
          <w:tcPr>
            <w:tcW w:type="dxa" w:w="385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一滴水可写包场场次和毛利增量；园区可写公共空间利用率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结算单、档期表</w:t>
            </w:r>
          </w:p>
        </w:tc>
      </w:tr>
      <w:tr>
        <w:tc>
          <w:tcPr>
            <w:tcW w:type="dxa" w:w="192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满意度与合规</w:t>
            </w:r>
          </w:p>
        </w:tc>
        <w:tc>
          <w:tcPr>
            <w:tcW w:type="dxa" w:w="3855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参会满意度；零重大合规、舆情或安全事故</w:t>
            </w:r>
          </w:p>
        </w:tc>
        <w:tc>
          <w:tcPr>
            <w:tcW w:type="dxa" w:w="362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问卷、合规检查记录</w:t>
            </w:r>
          </w:p>
        </w:tc>
      </w:tr>
    </w:tbl>
    <w:p>
      <w:pPr>
        <w:spacing w:after="160"/>
      </w:pPr>
    </w:p>
    <w:p>
      <w:pPr>
        <w:spacing w:before="240" w:after="160"/>
        <w:ind w:firstLine="0"/>
      </w:pPr>
      <w:r>
        <w:rPr>
          <w:rFonts w:ascii="Calibri" w:hAnsi="Calibri" w:eastAsia="微软雅黑" w:cs="Calibri"/>
          <w:b/>
          <w:color w:val="1B3A5F"/>
          <w:sz w:val="26"/>
        </w:rPr>
        <w:t>（三）预算、费用承担与挂牌费内涵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微软雅黑" w:cs="Calibri"/>
          <w:b w:val="0"/>
          <w:color w:val="1A1A1A"/>
          <w:sz w:val="22"/>
        </w:rPr>
        <w:t>每年 10 万元挂牌费只是很小一部分。请补齐整体财务安排，至少给出成本上限和承担主体，便于对方过会。建议按以下口径测算三年总成本，并分项列出上限、付款节点和采购机制：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6EE" w:val="clear"/>
            <w:tcBorders>
              <w:top w:val="single" w:sz="4" w:space="0" w:color="A9CDB6"/>
              <w:left w:val="single" w:sz="4" w:space="0" w:color="A9CDB6"/>
              <w:bottom w:val="single" w:sz="4" w:space="0" w:color="A9CDB6"/>
              <w:right w:val="single" w:sz="4" w:space="0" w:color="A9CDB6"/>
            </w:tcBorders>
          </w:tcPr>
          <w:p>
            <w:pPr>
              <w:spacing w:before="120" w:after="80"/>
            </w:pPr>
            <w:r/>
            <w:r>
              <w:rPr>
                <w:rFonts w:ascii="Calibri" w:hAnsi="Calibri" w:eastAsia="微软雅黑" w:cs="Calibri"/>
                <w:b/>
                <w:color w:val="1F6B3A"/>
                <w:sz w:val="24"/>
              </w:rPr>
              <w:t>建议采用的成本口径</w:t>
            </w:r>
          </w:p>
          <w:p>
            <w:pPr>
              <w:spacing w:after="120" w:line="312" w:lineRule="auto"/>
            </w:pPr>
            <w:r>
              <w:rPr>
                <w:rFonts w:ascii="Calibri" w:hAnsi="Calibri" w:eastAsia="微软雅黑" w:cs="Calibri"/>
                <w:b w:val="0"/>
                <w:color w:val="1A1A1A"/>
                <w:sz w:val="22"/>
              </w:rPr>
              <w:t>三年总成本 ＝ 场地机会成本 ＋ 装修及设备 ＋ 物业能耗网络 ＋ 活动预算 ＋ 人员、安保、保险 ＋ 挂牌费用。请同时说明：挂牌费包含哪些服务、不包含哪些服务；活动费用如何审批和结算；是否有单场活动成本标准；收入预测或至少保本所需的最低场次。</w:t>
            </w:r>
          </w:p>
        </w:tc>
      </w:tr>
    </w:tbl>
    <w:p>
      <w:pPr>
        <w:spacing w:after="120"/>
      </w:pPr>
    </w:p>
    <w:p>
      <w:pPr>
        <w:spacing w:before="240" w:after="160"/>
        <w:ind w:firstLine="0"/>
      </w:pPr>
      <w:r>
        <w:rPr>
          <w:rFonts w:ascii="Calibri" w:hAnsi="Calibri" w:eastAsia="微软雅黑" w:cs="Calibri"/>
          <w:b/>
          <w:color w:val="1B3A5F"/>
          <w:sz w:val="26"/>
        </w:rPr>
        <w:t>（四）免费服务与后续收费业务的边界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微软雅黑" w:cs="Calibri"/>
          <w:b w:val="0"/>
          <w:color w:val="1A1A1A"/>
          <w:sz w:val="22"/>
        </w:rPr>
        <w:t>分层服务可以保留，但须避免形成“合作方出资做公益活动—CGC 获得线索—再向企业收费”且权责不清的路径。请在下一版写明：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自愿：</w:t>
      </w:r>
      <w:r>
        <w:rPr>
          <w:rFonts w:ascii="Calibri" w:hAnsi="Calibri" w:eastAsia="微软雅黑" w:cs="Calibri"/>
          <w:b w:val="0"/>
          <w:color w:val="1A1A1A"/>
          <w:sz w:val="22"/>
        </w:rPr>
        <w:t>企业自愿选择付费服务，公益场不捆绑销售。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公开与分账：</w:t>
      </w:r>
      <w:r>
        <w:rPr>
          <w:rFonts w:ascii="Calibri" w:hAnsi="Calibri" w:eastAsia="微软雅黑" w:cs="Calibri"/>
          <w:b w:val="0"/>
          <w:color w:val="1A1A1A"/>
          <w:sz w:val="22"/>
        </w:rPr>
        <w:t>收费项目公开价目或报价原则，与补贴活动分开合同、分开开票、分开账目。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数据：</w:t>
      </w:r>
      <w:r>
        <w:rPr>
          <w:rFonts w:ascii="Calibri" w:hAnsi="Calibri" w:eastAsia="微软雅黑" w:cs="Calibri"/>
          <w:b w:val="0"/>
          <w:color w:val="1A1A1A"/>
          <w:sz w:val="22"/>
        </w:rPr>
        <w:t>客户名单和活动数据的使用需经授权，合作方对属地企业数据的知情和限制。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投诉：</w:t>
      </w:r>
      <w:r>
        <w:rPr>
          <w:rFonts w:ascii="Calibri" w:hAnsi="Calibri" w:eastAsia="微软雅黑" w:cs="Calibri"/>
          <w:b w:val="0"/>
          <w:color w:val="1A1A1A"/>
          <w:sz w:val="22"/>
        </w:rPr>
        <w:t>投诉受理主体；深度服务失误是否由 CGC 独立承担责任。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收益：</w:t>
      </w:r>
      <w:r>
        <w:rPr>
          <w:rFonts w:ascii="Calibri" w:hAnsi="Calibri" w:eastAsia="微软雅黑" w:cs="Calibri"/>
          <w:b w:val="0"/>
          <w:color w:val="1A1A1A"/>
          <w:sz w:val="22"/>
        </w:rPr>
        <w:t>合作方是否参与市场化收益；如不参与，须写明不分成、也不为收费项目背书。</w:t>
      </w:r>
    </w:p>
    <w:p>
      <w:pPr>
        <w:spacing w:before="240" w:after="160"/>
        <w:ind w:firstLine="0"/>
      </w:pPr>
      <w:r>
        <w:rPr>
          <w:rFonts w:ascii="Calibri" w:hAnsi="Calibri" w:eastAsia="微软雅黑" w:cs="Calibri"/>
          <w:b/>
          <w:color w:val="1B3A5F"/>
          <w:sz w:val="26"/>
        </w:rPr>
        <w:t>（五）涉外表述、慈善资金与合同底线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微软雅黑" w:cs="Calibri"/>
          <w:b w:val="0"/>
          <w:color w:val="1A1A1A"/>
          <w:sz w:val="22"/>
        </w:rPr>
        <w:t>“民间交流、不承担官方外交职能”需要落到合同条款，不能只写在方案开头。请统一对外口径，并补齐下列底线：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不背书、不保证：</w:t>
      </w:r>
      <w:r>
        <w:rPr>
          <w:rFonts w:ascii="Calibri" w:hAnsi="Calibri" w:eastAsia="微软雅黑" w:cs="Calibri"/>
          <w:b w:val="0"/>
          <w:color w:val="1A1A1A"/>
          <w:sz w:val="22"/>
        </w:rPr>
        <w:t>不代表任何领馆或政府部门背书；不保证官员出席、项目审批或商业成交。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品牌用语：</w:t>
      </w:r>
      <w:r>
        <w:rPr>
          <w:rFonts w:ascii="Calibri" w:hAnsi="Calibri" w:eastAsia="微软雅黑" w:cs="Calibri"/>
          <w:b w:val="0"/>
          <w:color w:val="1A1A1A"/>
          <w:sz w:val="22"/>
        </w:rPr>
        <w:t>一律改为“CGC品牌授权 / 民间交流基地挂牌”，删除“官方授权”“官方外交机构”等表述。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慈善：</w:t>
      </w:r>
      <w:r>
        <w:rPr>
          <w:rFonts w:ascii="Calibri" w:hAnsi="Calibri" w:eastAsia="微软雅黑" w:cs="Calibri"/>
          <w:b w:val="0"/>
          <w:color w:val="1A1A1A"/>
          <w:sz w:val="22"/>
        </w:rPr>
        <w:t>涉及公开义拍、慈善晚会募捐的，须由取得公开募捐资格的慈善组织开展或与其正式合作，募集资金进入该组织账户，并履行备案、公开等程序。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其他条款：</w:t>
      </w:r>
      <w:r>
        <w:rPr>
          <w:rFonts w:ascii="Calibri" w:hAnsi="Calibri" w:eastAsia="微软雅黑" w:cs="Calibri"/>
          <w:b w:val="0"/>
          <w:color w:val="1A1A1A"/>
          <w:sz w:val="22"/>
        </w:rPr>
        <w:t>补充反商业贿赂、个人信息与数据、肖像与宣传、IP、安保保险及退出后的标识拆除、资料交接。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微软雅黑" w:cs="Calibri"/>
          <w:b/>
          <w:color w:val="1B3A5F"/>
          <w:sz w:val="32"/>
        </w:rPr>
        <w:t>三、分方案修改意见</w:t>
      </w:r>
    </w:p>
    <w:p>
      <w:pPr>
        <w:spacing w:before="240" w:after="160"/>
        <w:ind w:firstLine="0"/>
      </w:pPr>
      <w:r>
        <w:rPr>
          <w:rFonts w:ascii="Calibri" w:hAnsi="Calibri" w:eastAsia="微软雅黑" w:cs="Calibri"/>
          <w:b/>
          <w:color w:val="1B3A5F"/>
          <w:sz w:val="26"/>
        </w:rPr>
        <w:t>（一）森马方案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微软雅黑" w:cs="Calibri"/>
          <w:b w:val="0"/>
          <w:color w:val="1A1A1A"/>
          <w:sz w:val="22"/>
        </w:rPr>
        <w:t>潮玩、消费品牌和 IP 出海与森马方向有协同，适合作为垂直基地来写，但当前专属场地条件尚未成熟，风险也最大。请重点修改：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面积：</w:t>
      </w:r>
      <w:r>
        <w:rPr>
          <w:rFonts w:ascii="Calibri" w:hAnsi="Calibri" w:eastAsia="微软雅黑" w:cs="Calibri"/>
          <w:b w:val="0"/>
          <w:color w:val="1A1A1A"/>
          <w:sz w:val="22"/>
        </w:rPr>
        <w:t>正文“2000㎡免租专属场地”与后文“1000㎡专属空间”不一致，请统一，并附功能分区面积表。该数字直接影响投资审批。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交付条件：</w:t>
      </w:r>
      <w:r>
        <w:rPr>
          <w:rFonts w:ascii="Calibri" w:hAnsi="Calibri" w:eastAsia="微软雅黑" w:cs="Calibri"/>
          <w:b w:val="0"/>
          <w:color w:val="1A1A1A"/>
          <w:sz w:val="22"/>
        </w:rPr>
        <w:t>浙江森马服饰股份有限公司 2026 年半年度报告仍将“上海国际运营中心项目”列为在建工程，期末账面价值约 7.83 亿元，工程累计投入约占预算 52.19%。请核实并补充实际竣工、验收、可交付使用的空间范围和时间，不宜按已全面投入运营的园区来承诺大面积专属场地。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投入节奏：</w:t>
      </w:r>
      <w:r>
        <w:rPr>
          <w:rFonts w:ascii="Calibri" w:hAnsi="Calibri" w:eastAsia="微软雅黑" w:cs="Calibri"/>
          <w:b w:val="0"/>
          <w:color w:val="1A1A1A"/>
          <w:sz w:val="22"/>
        </w:rPr>
        <w:t>2000㎡、全额装修加三年合作明显超前。全文仅“每年不少于 3 场青年活动”较明确，请升格为完整年历和整体 KPI。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建议改法：</w:t>
      </w:r>
      <w:r>
        <w:rPr>
          <w:rFonts w:ascii="Calibri" w:hAnsi="Calibri" w:eastAsia="微软雅黑" w:cs="Calibri"/>
          <w:b w:val="0"/>
          <w:color w:val="1A1A1A"/>
          <w:sz w:val="22"/>
        </w:rPr>
        <w:t>建议先用现有或届时可使用的公共空间做 6—12 个月试运营；达到利用率和转化门槛后，再讨论交付 300—500㎡，而不是一步到位。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主题：</w:t>
      </w:r>
      <w:r>
        <w:rPr>
          <w:rFonts w:ascii="Calibri" w:hAnsi="Calibri" w:eastAsia="微软雅黑" w:cs="Calibri"/>
          <w:b w:val="0"/>
          <w:color w:val="1A1A1A"/>
          <w:sz w:val="22"/>
        </w:rPr>
        <w:t>会客厅名称建议突出潮玩、IP 与消费出海，避免与创智汇同时主打“AI 会客厅”。</w:t>
      </w:r>
    </w:p>
    <w:p>
      <w:pPr>
        <w:spacing w:before="240" w:after="160"/>
        <w:ind w:firstLine="0"/>
      </w:pPr>
      <w:r>
        <w:rPr>
          <w:rFonts w:ascii="Calibri" w:hAnsi="Calibri" w:eastAsia="微软雅黑" w:cs="Calibri"/>
          <w:b/>
          <w:color w:val="1B3A5F"/>
          <w:sz w:val="26"/>
        </w:rPr>
        <w:t>（二）创智汇方案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微软雅黑" w:cs="Calibri"/>
          <w:b w:val="0"/>
          <w:color w:val="1A1A1A"/>
          <w:sz w:val="22"/>
        </w:rPr>
        <w:t>三份之中，创智汇最适合作为长期产业旗舰来设计：大创智的文化科技方向、周边高校和园区场景，与数字科创国际对接更匹配。也正因涉及国资物业、全额装修、补助和公共产业服务，合规要求最高。请补充：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面积必要性：</w:t>
      </w:r>
      <w:r>
        <w:rPr>
          <w:rFonts w:ascii="Calibri" w:hAnsi="Calibri" w:eastAsia="微软雅黑" w:cs="Calibri"/>
          <w:b w:val="0"/>
          <w:color w:val="1A1A1A"/>
          <w:sz w:val="22"/>
        </w:rPr>
        <w:t>1000㎡专属空间为什么必要，能否先以现有会议室、路演厅按次使用替代。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国资程序：</w:t>
      </w:r>
      <w:r>
        <w:rPr>
          <w:rFonts w:ascii="Calibri" w:hAnsi="Calibri" w:eastAsia="微软雅黑" w:cs="Calibri"/>
          <w:b w:val="0"/>
          <w:color w:val="1A1A1A"/>
          <w:sz w:val="22"/>
        </w:rPr>
        <w:t>国有物业使用、装修投资、补助或采购所适用的决策、审计和资产管理程序，以及合同主体（北岛科技 / 杨浦科创集团）。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对价：</w:t>
      </w:r>
      <w:r>
        <w:rPr>
          <w:rFonts w:ascii="Calibri" w:hAnsi="Calibri" w:eastAsia="微软雅黑" w:cs="Calibri"/>
          <w:b w:val="0"/>
          <w:color w:val="1A1A1A"/>
          <w:sz w:val="22"/>
        </w:rPr>
        <w:t>CGC 最低交付量（场次、嘉宾层级、线索和月报）。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隔离：</w:t>
      </w:r>
      <w:r>
        <w:rPr>
          <w:rFonts w:ascii="Calibri" w:hAnsi="Calibri" w:eastAsia="微软雅黑" w:cs="Calibri"/>
          <w:b w:val="0"/>
          <w:color w:val="1A1A1A"/>
          <w:sz w:val="22"/>
        </w:rPr>
        <w:t>园区公共投入与 CGC 向企业收费如何隔离，是否允许在补贴空间内销售深度服务。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退出：</w:t>
      </w:r>
      <w:r>
        <w:rPr>
          <w:rFonts w:ascii="Calibri" w:hAnsi="Calibri" w:eastAsia="微软雅黑" w:cs="Calibri"/>
          <w:b w:val="0"/>
          <w:color w:val="1A1A1A"/>
          <w:sz w:val="22"/>
        </w:rPr>
        <w:t>三年退出或提前终止时，装修资产、数据、品牌物料和客户关系如何交接。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存量协同：</w:t>
      </w:r>
      <w:r>
        <w:rPr>
          <w:rFonts w:ascii="Calibri" w:hAnsi="Calibri" w:eastAsia="微软雅黑" w:cs="Calibri"/>
          <w:b w:val="0"/>
          <w:color w:val="1A1A1A"/>
          <w:sz w:val="22"/>
        </w:rPr>
        <w:t>与园内已有“AI+IP 产业创新中心”等载体的分工，避免重复建设观感。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建议改法：</w:t>
      </w:r>
      <w:r>
        <w:rPr>
          <w:rFonts w:ascii="Calibri" w:hAnsi="Calibri" w:eastAsia="微软雅黑" w:cs="Calibri"/>
          <w:b w:val="0"/>
          <w:color w:val="1A1A1A"/>
          <w:sz w:val="22"/>
        </w:rPr>
        <w:t>建议下一版改为：先借用现有会议空间试点，不立即装修或交付专属场地。</w:t>
      </w:r>
    </w:p>
    <w:p>
      <w:pPr>
        <w:spacing w:before="240" w:after="160"/>
        <w:ind w:firstLine="0"/>
      </w:pPr>
      <w:r>
        <w:rPr>
          <w:rFonts w:ascii="Calibri" w:hAnsi="Calibri" w:eastAsia="微软雅黑" w:cs="Calibri"/>
          <w:b/>
          <w:color w:val="1B3A5F"/>
          <w:sz w:val="26"/>
        </w:rPr>
        <w:t>（三）尚9·一滴水方案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微软雅黑" w:cs="Calibri"/>
          <w:b w:val="0"/>
          <w:color w:val="1A1A1A"/>
          <w:sz w:val="22"/>
        </w:rPr>
        <w:t>轻资产、按场次合作，最容易低成本试错，也最容易形成直接宴会收入。请先改正事实和口径，再谈挂牌：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地址：</w:t>
      </w:r>
      <w:r>
        <w:rPr>
          <w:rFonts w:ascii="Calibri" w:hAnsi="Calibri" w:eastAsia="微软雅黑" w:cs="Calibri"/>
          <w:b w:val="0"/>
          <w:color w:val="1A1A1A"/>
          <w:sz w:val="22"/>
        </w:rPr>
        <w:t>方案写“黄浦区外滩及陆家嘴滨江核心区域”。公开信息显示，尚9·一滴水江景中餐厅位于上海市虹口区东大名路500号（北外滩国际客运中心一带）。建议改为“上海市虹口区东大名路500号”，地理描述可用“临黄浦江，隔江眺望陆家嘴并可观外滩”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口径：</w:t>
      </w:r>
      <w:r>
        <w:rPr>
          <w:rFonts w:ascii="Calibri" w:hAnsi="Calibri" w:eastAsia="微软雅黑" w:cs="Calibri"/>
          <w:b w:val="0"/>
          <w:color w:val="1A1A1A"/>
          <w:sz w:val="22"/>
        </w:rPr>
        <w:t>一边写不承担官方外交职能，一边写“CGC官方授权”。请统一为“CGC品牌授权”。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表述：</w:t>
      </w:r>
      <w:r>
        <w:rPr>
          <w:rFonts w:ascii="Calibri" w:hAnsi="Calibri" w:eastAsia="微软雅黑" w:cs="Calibri"/>
          <w:b w:val="0"/>
          <w:color w:val="1A1A1A"/>
          <w:sz w:val="22"/>
        </w:rPr>
        <w:t>“反哺企业主在阿联酋的海外地产业务”与餐厅经营无直接关系，请从正式方案中删除，避免借涉外资源为私人业务背书的观感。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待核实：</w:t>
      </w:r>
      <w:r>
        <w:rPr>
          <w:rFonts w:ascii="Calibri" w:hAnsi="Calibri" w:eastAsia="微软雅黑" w:cs="Calibri"/>
          <w:b w:val="0"/>
          <w:color w:val="1A1A1A"/>
          <w:sz w:val="22"/>
        </w:rPr>
        <w:t>“实际控制人长期深耕阿联酋”如无公开可核验资料，请改为待核实或删除，不作为合作依据。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微软雅黑" w:cs="Calibri"/>
          <w:b/>
          <w:color w:val="1B3A5F"/>
          <w:sz w:val="22"/>
        </w:rPr>
        <w:t xml:space="preserve">• </w:t>
      </w:r>
      <w:r>
        <w:rPr>
          <w:rFonts w:ascii="Calibri" w:hAnsi="Calibri" w:eastAsia="微软雅黑" w:cs="Calibri"/>
          <w:b/>
          <w:color w:val="1A1A1A"/>
          <w:sz w:val="22"/>
        </w:rPr>
        <w:t>建议改法：</w:t>
      </w:r>
      <w:r>
        <w:rPr>
          <w:rFonts w:ascii="Calibri" w:hAnsi="Calibri" w:eastAsia="微软雅黑" w:cs="Calibri"/>
          <w:b w:val="0"/>
          <w:color w:val="1A1A1A"/>
          <w:sz w:val="22"/>
        </w:rPr>
        <w:t>只做 3—6 个月、3—5 场活动的按场次试点；采用临时联合标识；挂牌费分期支付并与履约挂钩。请同时附餐费/场地优惠表、档期预约和高峰占用规则。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微软雅黑" w:cs="Calibri"/>
          <w:b/>
          <w:color w:val="1B3A5F"/>
          <w:sz w:val="32"/>
        </w:rPr>
        <w:t>四、建议的试运营安排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微软雅黑" w:cs="Calibri"/>
          <w:b w:val="0"/>
          <w:color w:val="1A1A1A"/>
          <w:sz w:val="22"/>
        </w:rPr>
        <w:t>合作节奏上，建议先设置试运营，约定阶段目标、付款节点及未达标时的调整或退出方式，再确定长期合作和空间投入。</w:t>
      </w:r>
    </w:p>
    <w:p>
      <w:pPr>
        <w:spacing w:before="0" w:after="120"/>
        <w:ind w:firstLine="0"/>
      </w:pPr>
      <w:r>
        <w:rPr>
          <w:rFonts w:ascii="Calibri" w:hAnsi="Calibri" w:eastAsia="微软雅黑" w:cs="Calibri"/>
          <w:b w:val="0"/>
          <w:color w:val="4A4A4A"/>
          <w:sz w:val="18"/>
        </w:rPr>
        <w:t>表3  建议的试点节奏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762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06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通过后再做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第 1—2 周</w:t>
            </w:r>
          </w:p>
        </w:tc>
        <w:tc>
          <w:tcPr>
            <w:tcW w:type="dxa" w:w="4762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签署活动合作备忘录（先不签物业无偿使用）；明确口径、档期和取消规则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锁定试点场次</w:t>
            </w:r>
          </w:p>
        </w:tc>
      </w:tr>
      <w:tr>
        <w:tc>
          <w:tcPr>
            <w:tcW w:type="dxa" w:w="158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试点期</w:t>
            </w:r>
          </w:p>
        </w:tc>
        <w:tc>
          <w:tcPr>
            <w:tcW w:type="dxa" w:w="4762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一滴水 3—5 场；园区各至少 1 场可核验闭门沙龙。嘉宾须可核验，不做“拟邀请”</w:t>
            </w:r>
          </w:p>
        </w:tc>
        <w:tc>
          <w:tcPr>
            <w:tcW w:type="dxa" w:w="306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形成线索台账和复盘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试点验收</w:t>
            </w:r>
          </w:p>
        </w:tc>
        <w:tc>
          <w:tcPr>
            <w:tcW w:type="dxa" w:w="4762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对照表2指标：出席层级、企业主体、纪要时限、对方书面意愿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未达标则调整或退出，不启动装修</w:t>
            </w:r>
          </w:p>
        </w:tc>
      </w:tr>
      <w:tr>
        <w:tc>
          <w:tcPr>
            <w:tcW w:type="dxa" w:w="158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空间条款</w:t>
            </w:r>
          </w:p>
        </w:tc>
        <w:tc>
          <w:tcPr>
            <w:tcW w:type="dxa" w:w="4762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仅在达标后讨论展陈点位或 300—500㎡ 量级专属空间</w:t>
            </w:r>
          </w:p>
        </w:tc>
        <w:tc>
          <w:tcPr>
            <w:tcW w:type="dxa" w:w="306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12 个月空间试点 + 续约条件</w:t>
            </w:r>
          </w:p>
        </w:tc>
      </w:tr>
    </w:tbl>
    <w:p>
      <w:pPr>
        <w:spacing w:after="160"/>
      </w:pP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微软雅黑" w:cs="Calibri"/>
          <w:b/>
          <w:color w:val="1B3A5F"/>
          <w:sz w:val="32"/>
        </w:rPr>
        <w:t>五、文档规范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微软雅黑" w:cs="Calibri"/>
          <w:b w:val="0"/>
          <w:color w:val="1A1A1A"/>
          <w:sz w:val="22"/>
        </w:rPr>
        <w:t>森马与创智汇文本结构高度相近，模板感较强。请在下一版让各案独立回答“与其他点有何不同”。三份均请补：版本日期、编制人、决策摘要、预算表和 KPI 表。正式外发 PDF 时请嵌入中文字体（如微软雅黑），避免跨平台出现方框或文字丢失。</w:t>
      </w:r>
    </w:p>
    <w:p>
      <w:pPr>
        <w:spacing w:before="0" w:after="120"/>
        <w:ind w:firstLine="0"/>
      </w:pPr>
      <w:r>
        <w:rPr>
          <w:rFonts w:ascii="Calibri" w:hAnsi="Calibri" w:eastAsia="微软雅黑" w:cs="Calibri"/>
          <w:b w:val="0"/>
          <w:color w:val="4A4A4A"/>
          <w:sz w:val="18"/>
        </w:rPr>
        <w:t>表4  下一版提交清单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07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8504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请提交的材料或章节</w:t>
            </w:r>
          </w:p>
        </w:tc>
      </w:tr>
      <w:tr>
        <w:tc>
          <w:tcPr>
            <w:tcW w:type="dxa" w:w="90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850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CGC 主体、授权、开票收款和专职团队附件</w:t>
            </w:r>
          </w:p>
        </w:tc>
      </w:tr>
      <w:tr>
        <w:tc>
          <w:tcPr>
            <w:tcW w:type="dxa" w:w="90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850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近三年活动清单、领事出席证明、脱敏转化案例</w:t>
            </w:r>
          </w:p>
        </w:tc>
      </w:tr>
      <w:tr>
        <w:tc>
          <w:tcPr>
            <w:tcW w:type="dxa" w:w="90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850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6 个月试运营方案、阶段目标、付款节点和未达标退出机制</w:t>
            </w:r>
          </w:p>
        </w:tc>
      </w:tr>
      <w:tr>
        <w:tc>
          <w:tcPr>
            <w:tcW w:type="dxa" w:w="90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850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双方职责矩阵和项目负责人名单</w:t>
            </w:r>
          </w:p>
        </w:tc>
      </w:tr>
      <w:tr>
        <w:tc>
          <w:tcPr>
            <w:tcW w:type="dxa" w:w="90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850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活动产品表、年度日历和单场标准流程</w:t>
            </w:r>
          </w:p>
        </w:tc>
      </w:tr>
      <w:tr>
        <w:tc>
          <w:tcPr>
            <w:tcW w:type="dxa" w:w="90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850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可验收 KPI（见表2）及统计口径</w:t>
            </w:r>
          </w:p>
        </w:tc>
      </w:tr>
      <w:tr>
        <w:tc>
          <w:tcPr>
            <w:tcW w:type="dxa" w:w="90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850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三年总成本、装修和活动预算上限、挂牌费内涵</w:t>
            </w:r>
          </w:p>
        </w:tc>
      </w:tr>
      <w:tr>
        <w:tc>
          <w:tcPr>
            <w:tcW w:type="dxa" w:w="90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850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免费活动与收费业务隔离规则（合同、发票、数据、投诉、是否分成）</w:t>
            </w:r>
          </w:p>
        </w:tc>
      </w:tr>
      <w:tr>
        <w:tc>
          <w:tcPr>
            <w:tcW w:type="dxa" w:w="90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850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品牌、涉外、反商业贿赂、数据隐私、肖像、IP、慈善资金、安保保险和退出条款</w:t>
            </w:r>
          </w:p>
        </w:tc>
      </w:tr>
      <w:tr>
        <w:tc>
          <w:tcPr>
            <w:tcW w:type="dxa" w:w="90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850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三案各自的事实勘误（面积、地址、授权用语、在建/可交付条件）</w:t>
            </w:r>
          </w:p>
        </w:tc>
      </w:tr>
    </w:tbl>
    <w:p>
      <w:pPr>
        <w:spacing w:after="160"/>
      </w:pPr>
    </w:p>
    <w:p>
      <w:pPr>
        <w:spacing w:before="0" w:after="160" w:lineRule="auto" w:line="324"/>
        <w:ind w:firstLine="420"/>
      </w:pPr>
      <w:r>
        <w:rPr>
          <w:rFonts w:ascii="Calibri" w:hAnsi="Calibri" w:eastAsia="微软雅黑" w:cs="Calibri"/>
          <w:b w:val="0"/>
          <w:color w:val="1A1A1A"/>
          <w:sz w:val="22"/>
        </w:rPr>
        <w:t>补齐上述内容后，方案的说服力和落地可操作性会更强。我们愿在下一版基础上，继续商议试点场次、验收标准和合作文本。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 w:cs="Calibri"/>
        <w:b w:val="0"/>
        <w:color w:val="4A4A4A"/>
        <w:sz w:val="16"/>
      </w:rPr>
      <w:t>供合作沟通与下一版修订使用，不构成合同或承诺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 w:cs="Calibri"/>
        <w:b w:val="0"/>
        <w:color w:val="4A4A4A"/>
        <w:sz w:val="16"/>
      </w:rPr>
      <w:t>CGC领事会客厅合作方案修改建议  ·  2026年9月5日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