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B88A2E"/>
          <w:sz w:val="24"/>
        </w:rPr>
        <w:t>复兴岛星火社区  ·  OPC入驻申请</w:t>
      </w:r>
    </w:p>
    <w:p>
      <w:pPr>
        <w:spacing w:after="12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44"/>
        </w:rPr>
        <w:t>AIDEN产业智能体</w:t>
      </w:r>
    </w:p>
    <w:p>
      <w:pPr>
        <w:spacing w:after="20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F6B5C"/>
          <w:sz w:val="28"/>
        </w:rPr>
        <w:t>复兴岛星火社区入驻业务计划书</w:t>
      </w:r>
    </w:p>
    <w:p>
      <w:pPr>
        <w:spacing w:after="32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22"/>
        </w:rPr>
        <w:t>AI智能体开发  ·  产业智库型OPC  ·  首期：城市更新案例库RAG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申请人：胡继刚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赛道：AI智能体开发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首期原型：城市更新案例库（RAG）（正在搭建）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拟定主体：上海艾登智能科技有限公司（待核名）</w:t>
      </w:r>
    </w:p>
    <w:p>
      <w:pPr>
        <w:spacing w:after="80" w:before="24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2026年9月6日  修订稿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目录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一、项目概述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二、用户与场景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三、四类产品：输入、处理、交付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四、开发进展：已完成、正在开发、计划开发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五、首期原型：城市更新案例库（RAG）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六、技术路径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七、商业模式与预计营收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八、团队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九、创始人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十、入驻需求与无支持时的启动方式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十一、近90天安排</w:t>
      </w:r>
    </w:p>
    <w:p>
      <w:pPr>
        <w:spacing w:after="60" w:before="0" w:lineRule="auto" w:line="317"/>
        <w:jc w:val="left"/>
      </w:pPr>
      <w:r>
        <w:rPr>
          <w:rFonts w:ascii="微软雅黑" w:hAnsi="微软雅黑" w:eastAsia="宋体" w:cs="微软雅黑"/>
          <w:b w:val="0"/>
          <w:i w:val="0"/>
          <w:color w:val="1A3A5C"/>
          <w:sz w:val="22"/>
        </w:rPr>
        <w:t>十二、风险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一、项目概述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项目名称：AIDEN产业智能体。赛道：AI智能体开发。组织形态：一人公司，由核心创始人调用AI Agent完成检索、结构化、写作和校对。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要解决的问题：园区、街道和企业在做产业判断、政策适用、招商匹配和城市更新方案时，资料散、难引用、难复用。通用聊天可以写一段综述，但缺少带出处的案例对照和企业画像。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产品方向固定为四类智能体：产业研究、政策研究、企业画像与招商匹配、城市更新案例库。首期只做城市更新案例库的RAG原型，其余三项作为后续拓展，不在第一年并行铺开。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项目由本人发起，尚未在杨浦注册OPC公司，拟入驻后设立新主体；相关平台职务为个人经历，不代表机构参与投资或经营。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二、用户与场景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第一类用户是园区、街道和城市更新相关工作团队，需要按问题找出可对照的更新案例，并看到原文出处。第二类是科技园区运营和招商人员，需要企业画像和产业方向匹配说明。第三类是科技型中小企业，需要把政策要点或产业材料整理成可内部使用的简报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用户需要的是可检索、可核对、可交付的知识工具。活动方案、材料包和会务协同不是本项目的产品范围。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三、四类产品：输入、处理、交付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每类产品都用同一套描述：用户输入什么、智能体完成什么、对外交付什么。首期只把城市更新案例库做到可演示检索；其余三类先冻结为拓展项，避免并行承诺。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智能体完成</w:t>
            </w:r>
          </w:p>
        </w:tc>
        <w:tc>
          <w:tcPr>
            <w:tcW w:type="dxa" w:w="1860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交付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产业研究智能体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后续拓展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行业问题、区域范围、已有材料或公开数据。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检索公开信息、归纳结构、起草综述并标出待核实处。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议题简报、白皮书初稿或一页纸结论。</w:t>
            </w:r>
          </w:p>
        </w:tc>
      </w:tr>
      <w:tr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政策研究智能体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后续拓展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政策文本、适用对象和具体问题。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拆解条款、对照适用条件、提示新旧差异和风险点。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政策要点卡、适用清单。</w:t>
            </w:r>
          </w:p>
        </w:tc>
      </w:tr>
      <w:tr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企业画像与招商匹配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后续拓展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企业公开信息、园区产业方向和招商条件。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做标签化画像，按产业方向匹配，说明匹配理由与缺口。</w:t>
            </w:r>
          </w:p>
        </w:tc>
        <w:tc>
          <w:tcPr>
            <w:tcW w:type="dxa" w:w="1860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企业画像卡、匹配说明（不承诺成交）。</w:t>
            </w:r>
          </w:p>
        </w:tc>
      </w:tr>
      <w:tr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城市更新案例库（RAG）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首期原型 · 正在搭建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案例文本、规划说明、现场问题。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切片入库、按问题检索相似案例、带着原文片段生成对照建议。</w:t>
            </w:r>
          </w:p>
        </w:tc>
        <w:tc>
          <w:tcPr>
            <w:tcW w:type="dxa" w:w="1860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案例卡 + 出处 + 对照表。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四、开发进展：已完成、正在开发、计划开发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需要把个人工作流和可供他人使用的产品分开写。已经跑通的，是创始人自己用AI完成研究成稿的流程，可以说明生产能力，但不能写成已上线产品。正在做的，是城市更新案例库RAG。还没有对外演示链接、账号或付费合同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当前阶段是正在搭建首期原型，对外可用产品尚未完成。入驻后30–90天，把正在搭建的案例库做到可当面演示检索与对照。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已完成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四类产品定义与「输入—处理—交付」口径；案例库字段设计（项目、区位、更新类型、业态、实施主体、可引用段落）。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已完成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个人AI研究成稿工作流：用于白皮书、方案和简报起草，仅本人使用，不是可供他人登录的产品。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正在开发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城市更新案例库RAG原型：文档切片、检索、带出处的对照输出。目前没有可对外访问的演示链接。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计划开发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企业画像与招商匹配；产业研究、政策研究智能体的产品化封装。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尚未开始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付费客户签约、对外SaaS上线。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五、首期原型：城市更新案例库（RAG）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选择案例库作为首期，是因为更新项目高度依赖「找相似案例、核出处」，适合用RAG而不是纯生成。目标流程：案例文本切片入库 → 按问题检索 → 返回案例卡和原文片段 → 生成对照表。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当前完成的是字段和流程设计，以及用个人工作流处理研究文稿的经验。尚未完成：稳定的案例库、检索界面、可分享的演示地址。下面的输入输出是设计样例，用于说明产品形态，不是系统截图。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输入（设计样例）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问题：滨江工业遗存更新如何导入科创业态？附一份项目概况。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智能体应完成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从案例库检索相似更新项目，摘录业态配比、实施主体和可引用段落，列出出处。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交付（设计样例）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3条案例对照表 + 引文位置。下表是字段设计，不是已上线系统截图。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本人已完成部分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问题定义、字段设计和检索流程说明；尚未完成可演示的检索界面与稳定案例库。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六、技术路径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第一年不自研底层大模型。案例库采用文档切片 + 向量检索 + 大模型归纳的RAG结构，回答必须带出处。企业画像后续用结构化标签和规则匹配，不把未经授权的内部数据写入模型训练。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工具优先使用可申请的社区和火山引擎智能体工具链；未获Tokens或工具支持时，使用现有商业API和本地文档库继续开发。代码与文档放在创始人工作区迭代，产品未上线前不宣称用户数。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七、商业模式与预计营收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申请表盈利模式勾选「技术开发」和「服务收费」。技术开发对应案例库／画像系统搭建和场景智能体定制；服务收费对应研究交付和陪跑。不把广告、游戏内购或会务票务作为主模式。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计划报价（用于测算，不是已成交价）：场景或案例库定制3–8万元/套；研究交付0.8–3万元/项；季度陪跑1.5–4万元/季。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数量假设：若年内完成2套定制（按5万元计）、4项研究（按1.5万元计）、1个季度陪跑（按2万元计），预计营业收入约18万元；若定制和陪跑各多一单，约28–35万元。综合判断，预计首年营业收入低于50万元，实际取决于产品验证和项目签约情况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成本测算：大模型与检索调用约2–6万元；工具与域名等约0.5–1万元；法律和记账外协约0.5–1.5万元；交通与验证约0.5–1万元。创始人按全年投入本项目，基本报酬和生活保障拟由自有资金安排约15–25万元，不把「无全职雇员」理解成项目没有人力成本。若社区免租、代账或Tokens获批，相应降低现金支出；未获批时，按上述自有资金预算启动，不把未获支持计入已落实成本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已实现营收为零，尚未融资。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填写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已实现营收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事实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已签约付费客户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事实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无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已获股权融资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事实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无，自有资金起步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预计首年营业收入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预测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低于50万元，取决于验证和签约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申请表选项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对应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50万以下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假设组合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预计收入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保守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1套定制 + 3项研究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约9–14万元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基准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2套定制 + 4项研究 + 1个陪跑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约18–22万元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较好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3套定制 + 5项研究 + 2个陪跑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约28–40万元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对应档位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申请表勾选「50万以下」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预计低于50万元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计划价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对应盈利模式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案例库／智能体定制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3–8万元/套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技术开发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产业或政策研究交付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0.8–3万元/项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服务收费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季度陪跑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1.5–4万元/季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服务收费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预计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模型与检索调用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2–6万元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无Tokens支持时按此计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工具与基础开支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0.5–1万元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软件、域名等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法律／记账外协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0.5–1.5万元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未获免费代账时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创始人基本报酬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15–25万元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自有资金安排，计入项目成本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社区免租／Tokens／代账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获批则降低现金支出，未获批不影响启动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八、团队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核心创始人胡继刚，1人，负责场景定义、质量签发、客户沟通和经营。AI Agent按检索（RAG）、结构化与画像、写作、校对分工，均不是劳动合同雇员。第一年不设全职雇员；设计、法律、记账按需外协。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是否雇员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核心创始人 胡继刚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是，唯一负责人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场景、签发、沟通、经营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检索 Agent（RAG）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切片、检索、附出处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结构化与画像 Agent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字段抽取、标签、匹配说明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写作 Agent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简报与对照表草稿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校对 Agent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否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出处与口径检查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九、创始人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教育：中国海洋大学土木工程学士，复旦大学工商管理硕士。职称：副教授级高级工程师（以证书原文为准）、会计师。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产业经验：十年投资拓展与项目研判，2017–2021年任万科上海区域江浙事业部投资副总经理。2021年起任复旦大学住房政策研究中心秘书长、杨浦区科技企业联合会执行会长，公开活动见个人简介所附链接。这些经历用于说明场景理解能力，不代表上述机构投资或经营本项目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十、入驻需求与无支持时的启动方式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拟申请：1个固定工位、工商注册地址、OPC开办辅导、代理记账、合火人工具链和Tokens。上述事项均为申请条件，以审核及实际可获得支持为准，不计入已经落实的成本。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若工位、免租、代账或Tokens未获批准，仍以自有资金支付模型调用和记账，在现有办公条件下继续搭建案例库原型，并在取得营业执照后对外签约。社区支持用于加快验证，不是项目能否启动的前提。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性质</w:t>
            </w:r>
          </w:p>
        </w:tc>
        <w:tc>
          <w:tcPr>
            <w:tcW w:type="dxa" w:w="309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固定工位1个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以审核为准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工商注册地址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入驻后新设主体</w:t>
            </w:r>
          </w:p>
        </w:tc>
      </w:tr>
      <w:tr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开办辅导与代账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未获批则自费办理</w:t>
            </w:r>
          </w:p>
        </w:tc>
      </w:tr>
      <w:tr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工具链与Tokens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拟申请</w:t>
            </w:r>
          </w:p>
        </w:tc>
        <w:tc>
          <w:tcPr>
            <w:tcW w:type="dxa" w:w="309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未获批则用自有API继续开发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十一、近90天安排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30日：提交并推进一人主体设立；继续开发案例库RAG；整理一批可入库的公开案例文本。90日：做出可当面演示的「提问—检索—对照表」流程；形成报价单；联系1–2个真实使用场景做试用，试用不等于已实现收入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十二、风险</w:t>
      </w:r>
    </w:p>
    <w:p>
      <w:pPr>
        <w:spacing w:after="160" w:before="0" w:lineRule="auto" w:line="317"/>
        <w:ind w:firstLine="420"/>
        <w:jc w:val="both"/>
      </w:pPr>
      <w:r>
        <w:rPr>
          <w:rFonts w:ascii="微软雅黑" w:hAnsi="微软雅黑" w:eastAsia="宋体" w:cs="微软雅黑"/>
          <w:b w:val="0"/>
          <w:i w:val="0"/>
          <w:color w:val="222222"/>
          <w:sz w:val="22"/>
        </w:rPr>
        <w:t>原型进度可能慢于90天，则继续只做首期，不并行铺开另外三类产品。案例和画像只用公开或授权材料，回答保留出处，避免把生成内容当成已核实事实。主体未设立前不对外以公司名义签约。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宋体" w:cs="微软雅黑"/>
        <w:b w:val="0"/>
        <w:color w:val="555555"/>
        <w:sz w:val="16"/>
      </w:rPr>
      <w:t xml:space="preserve">复兴岛星火社区入驻申请材料  ·  仅供官方审核使用  ·  第 </w:t>
    </w:r>
    <w:fldChar w:fldCharType="begin"/>
    <w:instrText xml:space="preserve"> PAGE </w:instrText>
    <w:fldChar w:fldCharType="end"/>
    <w:r>
      <w:rPr>
        <w:rFonts w:ascii="微软雅黑" w:hAnsi="微软雅黑" w:eastAsia="宋体" w:cs="微软雅黑"/>
        <w:b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宋体" w:cs="微软雅黑"/>
        <w:b w:val="0"/>
        <w:color w:val="B88A2E"/>
        <w:sz w:val="18"/>
      </w:rPr>
      <w:t>星火社区申请  ·  业务计划书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