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微软雅黑" w:hAnsi="微软雅黑" w:eastAsia="微软雅黑"/>
          <w:b/>
          <w:color w:val="0F244E"/>
          <w:sz w:val="56"/>
        </w:rPr>
        <w:t>元谷 2 万方招商材料工具包</w:t>
      </w:r>
      <w:r>
        <w:br/>
      </w:r>
      <w:r>
        <w:rPr>
          <w:rFonts w:ascii="微软雅黑" w:hAnsi="微软雅黑" w:eastAsia="微软雅黑"/>
          <w:b/>
          <w:color w:val="F27E2D"/>
          <w:sz w:val="44"/>
        </w:rPr>
        <w:t>精 选 脱 敏 版</w:t>
      </w:r>
    </w:p>
    <w:p>
      <w:pPr>
        <w:jc w:val="center"/>
      </w:pPr>
      <w:r>
        <w:rPr>
          <w:rFonts w:ascii="微软雅黑" w:hAnsi="微软雅黑" w:eastAsia="微软雅黑"/>
          <w:b w:val="0"/>
          <w:color w:val="667086"/>
          <w:sz w:val="26"/>
        </w:rPr>
        <w:t>项目一页通 · 招租亮点 · 产业牌照 · 产业沙龙 · 政策亮点 · 精选问答</w:t>
      </w:r>
    </w:p>
    <w:p>
      <w:pPr>
        <w:spacing w:before="640"/>
        <w:jc w:val="center"/>
      </w:pPr>
      <w:r>
        <w:rPr>
          <w:rFonts w:ascii="微软雅黑" w:hAnsi="微软雅黑" w:eastAsia="微软雅黑"/>
          <w:b w:val="0"/>
          <w:color w:val="55607A"/>
          <w:sz w:val="22"/>
        </w:rPr>
        <w:t>出品方:胡教授团队 (代表复旦大学住房政策研究中心、上海市科技企业联合会)</w:t>
      </w:r>
      <w:r>
        <w:br/>
      </w:r>
      <w:r>
        <w:rPr>
          <w:rFonts w:ascii="微软雅黑" w:hAnsi="微软雅黑" w:eastAsia="微软雅黑"/>
          <w:b w:val="0"/>
          <w:color w:val="55607A"/>
          <w:sz w:val="22"/>
        </w:rPr>
        <w:t>呈:危建平总  ·  本材料已脱敏, 用于商务汇报与招商沟通</w:t>
      </w:r>
      <w:r>
        <w:br/>
      </w:r>
    </w:p>
    <w:p>
      <w:r>
        <w:br w:type="page"/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0F244E"/>
          <w:sz w:val="36"/>
        </w:rPr>
        <w:t>一、项目一页通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</w:t>
            </w:r>
          </w:p>
        </w:tc>
        <w:tc>
          <w:tcPr>
            <w:tcW w:type="dxa" w:w="7087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项目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森马 (上海) 国际运营中心 · 元谷项目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位置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上海市闵行区元江路-剑川路, 大零号湾文创融合核心区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身份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大零号湾核心区 + 上海市唯一科技时尚特色小镇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总建面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22 万㎡ (1#-6# 共 6 栋)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本期招商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4# 楼 5F+ + 5# 楼 5F+ 共约 2 万㎡产业研发办公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产业定位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IP + AI 双轨 (4# 楼 AI 主轴 / 5# 楼 IP 主轴)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交通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 号线元江路站 TOD, 单日客流 5-7 万人次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覆盖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 分钟车行覆盖 24 万居住 + 12 万产业办公人口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开业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2027/5/1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服务方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胡教授团队 (第三方专业招商运营服务机构)</w:t>
            </w:r>
          </w:p>
        </w:tc>
      </w:tr>
    </w:tbl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0F244E"/>
          <w:sz w:val="36"/>
        </w:rPr>
        <w:t>二、招租亮点与租金动态平衡</w:t>
      </w:r>
    </w:p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0F244E"/>
          <w:sz w:val="28"/>
        </w:rPr>
        <w:t>2.1 楼宇与定位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楼栋</w:t>
            </w:r>
          </w:p>
        </w:tc>
        <w:tc>
          <w:tcPr>
            <w:tcW w:type="dxa" w:w="1417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面积</w:t>
            </w:r>
          </w:p>
        </w:tc>
        <w:tc>
          <w:tcPr>
            <w:tcW w:type="dxa" w:w="2268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主轴</w:t>
            </w:r>
          </w:p>
        </w:tc>
        <w:tc>
          <w:tcPr>
            <w:tcW w:type="dxa" w:w="3798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同栋协同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4# 楼 5F+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约 1 万㎡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AI 主轴 (国际创意层)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4F 直播中心 / 5F AI 共享设计中心 / DIY 中心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5# 楼 5F+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约 1 万㎡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IP 主轴 (产业总部层)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5F 潮玩产业展厅 / 1-4F 动漫书店</w:t>
            </w:r>
          </w:p>
        </w:tc>
      </w:tr>
    </w:tbl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0F244E"/>
          <w:sz w:val="28"/>
        </w:rPr>
        <w:t>2.2 租金动态平衡 (核心)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2551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租金区间</w:t>
            </w:r>
          </w:p>
        </w:tc>
        <w:tc>
          <w:tcPr>
            <w:tcW w:type="dxa" w:w="4252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招商期 (满租前)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1.5 - 1.8 元/㎡/天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先低价快速招满, 形成产业氛围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长期稳定 (满租后)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2.0 - 2.5 元/㎡/天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满租后逐步抬升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保底锚点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2.0 元/㎡/天 (含物业费)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危建平总已确定, 长期底线</w:t>
            </w:r>
          </w:p>
        </w:tc>
      </w:tr>
    </w:tbl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策略逻辑:先以 1.5-1.8 元低价快速招满, 再借满租势能与产业生态逐步抬升至 2.0-2.5 元, 长期锚定保底 2.0 元(含物业), 实现项目方租金动态增收。</w:t>
      </w:r>
    </w:p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0F244E"/>
          <w:sz w:val="28"/>
        </w:rPr>
        <w:t>2.3 招商亮点 (我方服务能力)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★ 仲量联行爬楼大数据:200+ 家精准目标客户清单, 转化率 +30% (我方核心优势)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腾讯算力补贴:新注册 AI 公司 3 个月合同免费 / 算力 85 折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产业基金:返投落地, 资本驱动招商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北欧创新国际会客厅 + 福布斯产业影响力奖:国际化品牌势能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复旦大学住房政策研究中心 + 上海市科技企业联合会:学术背书 + 政府对接</w:t>
      </w:r>
    </w:p>
    <w:p>
      <w:r>
        <w:br w:type="page"/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0F244E"/>
          <w:sz w:val="36"/>
        </w:rPr>
        <w:t>三、5 项产业牌照 (可选 · 10 万/项)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3402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挂牌名称</w:t>
            </w:r>
          </w:p>
        </w:tc>
        <w:tc>
          <w:tcPr>
            <w:tcW w:type="dxa" w:w="1871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出牌方</w:t>
            </w:r>
          </w:p>
        </w:tc>
        <w:tc>
          <w:tcPr>
            <w:tcW w:type="dxa" w:w="3118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对入驻企业的价值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①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AI 潮玩产业基地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中国动漫集团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国家级 AI+IP 产业认证 / 政策对接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②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潮玩次元商业专委会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中国百货商业协会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潮玩零售生态 / 政府对话渠道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③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复旦大学住房政策研究中心·元谷分中心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复旦大学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学术背书 / 政策研究 / 高净值人脉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④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上海市科技企业联合会·元谷产业基地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上海市科企联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上海科技企业生态 / 政府补贴申报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⑤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福布斯产业影响力奖·元谷专场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福布斯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国际品牌势能 / 年度评选 IP</w:t>
            </w:r>
          </w:p>
        </w:tc>
      </w:tr>
    </w:tbl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说明:挂牌费 10 万元/项, 由项目方按需选择, 选定后挂牌前一次性付清(最多 5 项)。</w:t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0F244E"/>
          <w:sz w:val="36"/>
        </w:rPr>
        <w:t>四、6 场产业沙龙 (每场 ≥ 30 个目标产业客户)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#</w:t>
            </w:r>
          </w:p>
        </w:tc>
        <w:tc>
          <w:tcPr>
            <w:tcW w:type="dxa" w:w="1587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3118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主题</w:t>
            </w:r>
          </w:p>
        </w:tc>
        <w:tc>
          <w:tcPr>
            <w:tcW w:type="dxa" w:w="3685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联办方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#1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第 1 月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AI + 潮玩 (借势 5·22 峰会)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中动漫 + 腾讯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#2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第 3 月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潮玩出海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北欧创新国际会客厅 + 福布斯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#3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第 5 月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投融资路演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产业基金 + 银行 + 券商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#4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第 7 月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设计与创意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上海交大设计学院 + 上海市科企联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#5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第 9 月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内容 IP 与 Z 世代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中百协潮玩次元专委 + 中动漫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#6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第 11 月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政策补贴与小镇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闵行科协 + 复旦住房政策研究中心</w:t>
            </w:r>
          </w:p>
        </w:tc>
      </w:tr>
    </w:tbl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沙龙执行费由我方单独收取(不与他方分润), 6 场打包一次性付清。每场触达 ≥30 家产业客户 + ≥100 万次媒体曝光。</w:t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0F244E"/>
          <w:sz w:val="36"/>
        </w:rPr>
        <w:t>五、政策亮点 (闵行 + 上海市)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政策</w:t>
            </w:r>
          </w:p>
        </w:tc>
        <w:tc>
          <w:tcPr>
            <w:tcW w:type="dxa" w:w="2268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出台单位</w:t>
            </w:r>
          </w:p>
        </w:tc>
        <w:tc>
          <w:tcPr>
            <w:tcW w:type="dxa" w:w="3685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扶持力度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大零号湾建设专项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闵行区政府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最高 1,000 万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科技时尚特色小镇专项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闵行区政府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200-500 万 (元谷独占)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闵行区 AI 行动方案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闵行区科委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100-500 万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闵行区文创产业扶持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闵行区文广旅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最高 200 万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闵行区科技创新券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闵行区科委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10-50 万/年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上海市 AI 大模型专项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上海市经信委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最高 1,000 万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高新技术企业认定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上海市科技局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所得税 15% (vs 25%)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上海市数字内容产业专项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上海市文旅局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100-500 万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腾讯算力补贴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云厂商合作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 月合同免费 / 算力 85 折</w:t>
            </w:r>
          </w:p>
        </w:tc>
      </w:tr>
    </w:tbl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我方代表复旦大学住房政策研究中心、上海市科技企业联合会, 可协助入驻企业一站式代办上述政策申报, 加速 30%。</w:t>
      </w:r>
    </w:p>
    <w:p>
      <w:r>
        <w:br w:type="page"/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0F244E"/>
          <w:sz w:val="36"/>
        </w:rPr>
        <w:t>六、精选招商问答 (30 问)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01. 元谷项目是什么?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森马集团出品的科技+时尚产业综合体, 总建面 22 万㎡, 位于上海闵行大零号湾核心区。本期聚焦 4#+5# 楼 5F+ 共约 2 万㎡产业研发办公, 定位 IP + AI 双轨产业园区。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02. 在什么位置?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上海市闵行区元江路-剑川路, 15 号线元江路站 TOD 上盖。距紫竹高新区 5km、虹桥机场 17km、浦东机场 36km。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03. 什么时候开业?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2027 年 5 月 1 日, 当前招商已启动。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04. 为什么选这个位置?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大零号湾核心区(闵行五大中心之一) + 上海唯一科技时尚特色小镇, 政策含金量高, TOD 上盖客流大。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05. 4# 楼和 5# 楼有什么区别?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4# 楼 5F+ 偏 AI(国际创意层, 同栋有直播中心 + AI 共享设计中心);5# 楼 5F+ 偏 IP(产业总部层, 同栋有潮玩展厅 + 动漫书店)。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06. 面积可以分割吗?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可以, 200㎡ - 5,000㎡ 灵活分割, 头部客户可整层整栋。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07. 租金是多少?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招商期平均 1.5-1.8 元/㎡/天(先低价招满), 长期稳定 2.0-2.5 元/㎡/天;保底 2.0 元含物业。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08. 为什么招商期租金低?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动态租金平衡策略:先以低价快速招满、形成产业氛围, 再借满租势能逐步抬升租金, 对早期入驻客户是红利。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09. 物业费另收吗?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保底锚点 2.0 元已含物业费;招商期低价为净租金或含物业, 以租赁合同为准。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10. 押金和预付多少?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押金 = 月租金 × 2 个月;预付租金 3 个月。大客户可议。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11. 租期多久?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最短 1 年, 推荐 3 年(可 3+2 续约), 头部客户可议 5 年。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12. 有免租期吗?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有, 按面积阶梯 15 天 - 3 个月;装修期不计租金。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13. 有装修补贴吗?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大客户专享:≥2,000㎡ 享 100-300 元/㎡ 装修补贴。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14. 入驻有什么政府补贴?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高新认定(15% 所得税)、专精特新、创新券、闵行专项、AI 大模型专项(最高 1,000 万)、文创扶持等, 我方一站式代办。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15. 腾讯算力补贴是真的吗?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是, 新注册 AI 公司 3 个月合同免费或算力 85 折, 我方一站式办理。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16. 有产业牌照吗?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5 项可选:AI 潮玩产业基地、潮玩次元商业专委会、复旦住房政策研究中心元谷分中心、上海市科企联元谷产业基地、福布斯产业影响力奖。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17. 入驻能用产业牌照背书吗?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可以, 符合条件的入驻企业可获牌照成员单位背书, 用于名片/官网/媒体宣传。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18. 每年有什么活动?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6 场产业沙龙(每场 ≥30 家客户)+ 潮玩设计大赛 + 福布斯榜单 + 北欧外事接待 + 5·22 AI 峰会借势。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19. 我能在活动上发言吗?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可以, 入驻企业可申请主题演讲席 / 圆桌嘉宾席 / 路演席。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20. 有配套设施吗?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共享直播中心、AI 共享设计中心、AI 打样 DIY 中心、潮玩选品中心、潮玩艺术中心、潮玩产业展厅。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21. 科技企业服务中心做什么?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提供注册落户、财税法、知识产权、政府补贴申报、人才签证、投融资、品牌公关、数字化工具、培训认证等服务。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22. 注册地不在上海能享受补贴吗?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需在闵行区(元谷)设立子公司, 子公司单独享受政策, 我方可代办注册。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23. 员工落户能支持吗?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可以, 提供居住证积分、留学生/海归落户、外籍签证代办;员工可申请闵行人才公寓(房租减免 30-50%)。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24. AI 大模型公司适合吗?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非常适合:腾讯算力补贴 + 上海 AI 大模型专项(最高 1,000 万)+ AI 共享设计中心 + AI 潮玩产业基地牌照。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25. IP 公司怎么对接潮玩零售?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一站式:IP 创意(展厅)→ 打样(DIY 中心)→ 制造(物流中心)→ 销售(选品中心)→ 直播(直播中心)。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26. 元谷 vs 周边园区?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与零号湾/紫竹同价(2.0-2.5 元), 但 IP+AI 双轨 + 5 项挂牌 + TOD 上盖 + 国际化资源, 综合性价比更高;比张江/漕河泾顶级园区便宜 30-50%。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27. 元谷 vs 杨浦 AI+IP 园区?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杨浦 1 万方已验证打法可行;元谷 2 万方为升级版, 加上闵行政策红利 + TOD + 国际化背书, 优势更强。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28. 签约流程是什么?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看楼 → 商务沟通 → 条款谈判 → 签约 → 起租装修, 整体 1.5-2 个月可入驻。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29. 入驻后有人服务吗?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有, 配专属客户经理, 负责政策对接 / 配套使用 / 活动邀请 / 投融资对接, 全程伴随。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30. 谁负责招商?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由胡教授团队(第三方专业招商运营服务机构, 代表复旦住房政策研究中心、上海市科企联)全权负责产业招商。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