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Calibri" w:hAnsi="Calibri" w:eastAsia="WenQuanYi Micro Hei" w:cs="Calibri"/>
          <w:b/>
          <w:color w:val="1B3A5F"/>
          <w:sz w:val="44"/>
        </w:rPr>
        <w:t>CGC 领事会客厅三案评估意见</w:t>
      </w:r>
    </w:p>
    <w:p>
      <w:pPr>
        <w:spacing w:after="80"/>
        <w:jc w:val="center"/>
      </w:pPr>
      <w:r>
        <w:rPr>
          <w:rFonts w:ascii="Calibri" w:hAnsi="Calibri" w:eastAsia="WenQuanYi Micro Hei" w:cs="Calibri"/>
          <w:b w:val="0"/>
          <w:color w:val="4A4A4A"/>
          <w:sz w:val="24"/>
        </w:rPr>
        <w:t>森马上海国际运营中心  ·  创智汇  ·  尚9·一滴水</w:t>
      </w:r>
    </w:p>
    <w:p>
      <w:pPr>
        <w:spacing w:after="240"/>
        <w:jc w:val="center"/>
      </w:pPr>
      <w:r>
        <w:rPr>
          <w:rFonts w:ascii="Calibri" w:hAnsi="Calibri" w:eastAsia="WenQuanYi Micro Hei" w:cs="Calibri"/>
          <w:b/>
          <w:color w:val="B85C00"/>
          <w:sz w:val="20"/>
        </w:rPr>
        <w:t>评估对象为三份「合作建议」原文  ·  结论：方向成立，文本未达可签约级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一、一页纸结论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6E8" w:val="clear"/>
            <w:tcBorders>
              <w:top w:val="single" w:sz="4" w:space="0" w:color="E8C48A"/>
              <w:left w:val="single" w:sz="4" w:space="0" w:color="E8C48A"/>
              <w:bottom w:val="single" w:sz="4" w:space="0" w:color="E8C48A"/>
              <w:right w:val="single" w:sz="4" w:space="0" w:color="E8C48A"/>
            </w:tcBorders>
          </w:tcPr>
          <w:p>
            <w:pPr>
              <w:spacing w:before="120" w:after="80"/>
            </w:pPr>
            <w:r/>
            <w:r>
              <w:rPr>
                <w:rFonts w:ascii="Calibri" w:hAnsi="Calibri" w:eastAsia="WenQuanYi Micro Hei" w:cs="Calibri"/>
                <w:b/>
                <w:color w:val="B85C00"/>
                <w:sz w:val="24"/>
              </w:rPr>
              <w:t>总判断：可以谈，不能原样发出</w:t>
            </w:r>
          </w:p>
          <w:p>
            <w:pPr>
              <w:spacing w:after="120" w:line="312" w:lineRule="auto"/>
            </w:pPr>
            <w:r>
              <w:rPr>
                <w:rFonts w:ascii="Calibri" w:hAnsi="Calibri" w:eastAsia="WenQuanYi Micro Hei" w:cs="Calibri"/>
                <w:b w:val="0"/>
                <w:color w:val="1A1A1A"/>
                <w:sz w:val="22"/>
              </w:rPr>
              <w:t>三份文本是同一套 CGC「领事会客厅」骨架的场地换皮，不是三套独立策划。「民间交流平台 + 产业主题空间 + 公益沙龙/市场化深度服务分层」这条产品逻辑成立，也比空喊「对接各国中央政府」更接近可落地的生意。但目前对园区是「要 1000–2000㎡ 免租 + 全额装修 + 每年 10 万现金 + 不定额营销」，对己方几乎没有可核验的场次、领事出席、线索转化和驻场运营承诺。按这个对价，森马和创智汇的法务、招商、国资部门大概率会直接退回。一滴水是轻资产挂牌，商业结构相对健康，但仍缺保底场次，且出现「CGC 官方授权」与「非官方民间定位」的口径冲突。</w:t>
            </w:r>
          </w:p>
        </w:tc>
      </w:tr>
    </w:tbl>
    <w:p>
      <w:pPr>
        <w:spacing w:after="120"/>
      </w:pP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建议动作很明确：一滴水可在补齐保底场次和对价表后进入商务谈判；创智汇先改成「活动合作 + 小型展陈」，不要一上来要 1000㎡ 国有物业无偿使用；森马先改面积笔误，把 2000㎡ 降到可解释的展厅规模，并与创智汇错开 AI 主题。三案不要同一周发出，否则对方一对口径就会发现是批量定制。</w:t>
      </w:r>
    </w:p>
    <w:p>
      <w:pPr>
        <w:spacing w:before="0" w:after="120"/>
        <w:ind w:firstLine="0"/>
      </w:pPr>
      <w:r>
        <w:rPr>
          <w:rFonts w:ascii="Calibri" w:hAnsi="Calibri" w:eastAsia="WenQuanYi Micro Hei" w:cs="Calibri"/>
          <w:b w:val="0"/>
          <w:color w:val="4A4A4A"/>
          <w:sz w:val="18"/>
        </w:rPr>
        <w:t>表1  三案可执行评分（10 分制，内部裁量，用于排序而不是对外报价）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6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020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森马</w:t>
            </w:r>
          </w:p>
        </w:tc>
        <w:tc>
          <w:tcPr>
            <w:tcW w:type="dxa" w:w="1020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创智汇</w:t>
            </w:r>
          </w:p>
        </w:tc>
        <w:tc>
          <w:tcPr>
            <w:tcW w:type="dxa" w:w="1020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一滴水</w:t>
            </w:r>
          </w:p>
        </w:tc>
        <w:tc>
          <w:tcPr>
            <w:tcW w:type="dxa" w:w="4989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战略匹配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7.0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8.0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7.5</w:t>
            </w:r>
          </w:p>
        </w:tc>
        <w:tc>
          <w:tcPr>
            <w:tcW w:type="dxa" w:w="4989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创智汇有高校和国企开放任务；森马有潮玩产业故事；一滴水有中阿场景</w:t>
            </w:r>
          </w:p>
        </w:tc>
      </w:tr>
      <w:tr>
        <w:tc>
          <w:tcPr>
            <w:tcW w:type="dxa" w:w="13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商业对等</w:t>
            </w:r>
          </w:p>
        </w:tc>
        <w:tc>
          <w:tcPr>
            <w:tcW w:type="dxa" w:w="1020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3.5</w:t>
            </w:r>
          </w:p>
        </w:tc>
        <w:tc>
          <w:tcPr>
            <w:tcW w:type="dxa" w:w="1020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3.5</w:t>
            </w:r>
          </w:p>
        </w:tc>
        <w:tc>
          <w:tcPr>
            <w:tcW w:type="dxa" w:w="1020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7.0</w:t>
            </w:r>
          </w:p>
        </w:tc>
        <w:tc>
          <w:tcPr>
            <w:tcW w:type="dxa" w:w="4989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两园区是对方出空间和现金；一滴水是对方付挂牌费、CGC 导流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落地可执行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4.0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4.0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6.0</w:t>
            </w:r>
          </w:p>
        </w:tc>
        <w:tc>
          <w:tcPr>
            <w:tcW w:type="dxa" w:w="4989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均缺日历、驻场、KPI；一滴水不新占物业，执行门槛更低</w:t>
            </w:r>
          </w:p>
        </w:tc>
      </w:tr>
      <w:tr>
        <w:tc>
          <w:tcPr>
            <w:tcW w:type="dxa" w:w="13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合规过会</w:t>
            </w:r>
          </w:p>
        </w:tc>
        <w:tc>
          <w:tcPr>
            <w:tcW w:type="dxa" w:w="1020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5.0</w:t>
            </w:r>
          </w:p>
        </w:tc>
        <w:tc>
          <w:tcPr>
            <w:tcW w:type="dxa" w:w="1020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3.5</w:t>
            </w:r>
          </w:p>
        </w:tc>
        <w:tc>
          <w:tcPr>
            <w:tcW w:type="dxa" w:w="1020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6.5</w:t>
            </w:r>
          </w:p>
        </w:tc>
        <w:tc>
          <w:tcPr>
            <w:tcW w:type="dxa" w:w="4989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创智汇涉及国有物业无偿使用，过会难度最高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主题差异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6.0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5.0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8.0</w:t>
            </w:r>
          </w:p>
        </w:tc>
        <w:tc>
          <w:tcPr>
            <w:tcW w:type="dxa" w:w="4989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森马与创智汇都打 AI，会互相稀释；中阿主题最干净</w:t>
            </w:r>
          </w:p>
        </w:tc>
      </w:tr>
      <w:tr>
        <w:tc>
          <w:tcPr>
            <w:tcW w:type="dxa" w:w="13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建议处置</w:t>
            </w:r>
          </w:p>
        </w:tc>
        <w:tc>
          <w:tcPr>
            <w:tcW w:type="dxa" w:w="1020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改后再发</w:t>
            </w:r>
          </w:p>
        </w:tc>
        <w:tc>
          <w:tcPr>
            <w:tcW w:type="dxa" w:w="1020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大改</w:t>
            </w:r>
          </w:p>
        </w:tc>
        <w:tc>
          <w:tcPr>
            <w:tcW w:type="dxa" w:w="1020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小改可谈</w:t>
            </w:r>
          </w:p>
        </w:tc>
        <w:tc>
          <w:tcPr>
            <w:tcW w:type="dxa" w:w="4989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均不建议以当前文本作为合同附件</w:t>
            </w:r>
          </w:p>
        </w:tc>
      </w:tr>
    </w:tbl>
    <w:p>
      <w:pPr>
        <w:spacing w:after="160"/>
      </w:pP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综合分大约 5.5/10。作为「内部讨论稿」可用，作为「给董事长/园区总经理的合作建议」不够。真正值钱的不是 1000㎡ 挂牌，而是：一年能稳定请来多少领事和商协会、能沉淀多少可跟进线索、以及会客厅在非活动日到底谁来值守。这三件事，三份文本都没有写清楚。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二、三案分别是什么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三份文件标题不同，骨架相同：先用同一套 CGC 简介和五项能力（会客厅、企业出海、来华考察、海外中小企业扶持、青年交流），再贴上「民间交流、不承担官方外交职能」的合规声明，最后才进入场地条款和合作价值。一至三章几乎可以整段复用，差异集中在第四章的要价和第五章的价值话术。这不是三案并行的网络规划，而是一份母版对三个业主的销售定制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（一）森马：重资产入驻时尚产业园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对象是闵行吴泾镇莲花南路 2689 号森马上海国际运营中心，自称 22 万㎡、「国际总部 / 时尚总部 / 创业总部」，正在往潮玩 IP、AIGC、时尚 AI 方向导流。方案要求园区提供合计 2000㎡ 免租金专属场地，挂牌「亚洲潮玩与AI国际领事会客厅」；森马全额装修、承担水电物业网络；每年再给 CGC 10 万元挂牌经费，另设不定额营销预算。CGC 承诺国别沙龙、海外 IP 来华对接、园区企业出海线索台账、每年不少于 3 场青年沙龙，以及对外物料双品牌露出。合作期建议 3 年，按「年度绩效评估」决定续约，但评估指标未定义。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（二）创智汇：重资产入驻国企科创园区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对象是杨浦大创智核心载体创智汇，资产归属杨浦科技创新集团，由全资子公司上海北岛科技发展有限公司运营。周边复旦、同济、财大，园区已有中建四局「AI+IP 产业创新中心」。方案要 1000㎡ 免租专属场地，挂牌「亚洲数字AI产业会客厅（领事会客厅）」；园区全额装修且资产归国有；水电物业网络由园区承担；同样每年 10 万元挂牌经费 + 不定额营销补贴。CGC 责任与森马高度同构，只是把潮玩换成 AI / 数字文创 / 智能制造，并强调高校青年交流和国际招商推介。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（三）一滴水：轻资产挂牌滨江中餐厅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对象是尚9·一滴水江景中餐厅，文本写「黄浦区外滩及陆家嘴滨江核心区域」，实际控制人长期深耕阿联酋。这是完全不同的交易结构：不新要专属物业，餐厅在入口、VIP 区和宴会厅挂「CGC阿拉伯领事会客厅·尚9一滴水交流基地」；宴会厅、包间、10–30 人沙龙区按档期预约给 CGC；餐饮按优惠价另结。CGC 收取每年 10 万元挂牌服务费（不抵扣餐费），承诺把领事晚宴、中阿闭门沙龙、国际商会宴请、企业家私享会优先放到该餐厅。文本明确 CGC 不介入餐饮经营、不承担房租人力食材；沙龙和路演免费提供场地，宴请另计。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和既有「金茂 86 层国家会客厅」战略相比，这三案是一次明显的产品下沉：从高客单价国别冠名（原方案量级在每年数十万至数百万元），变成向产业园区要空间、向餐厅收 10 万元挂牌费。如果金茂旗舰还没做出可参观、可复购的样板，先在上海铺三个卫星点，品牌会被摊薄，价格锚也会被自己打穿。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三、三案对照</w:t>
      </w:r>
    </w:p>
    <w:p>
      <w:pPr>
        <w:spacing w:before="0" w:after="120"/>
        <w:ind w:firstLine="0"/>
      </w:pPr>
      <w:r>
        <w:rPr>
          <w:rFonts w:ascii="Calibri" w:hAnsi="Calibri" w:eastAsia="WenQuanYi Micro Hei" w:cs="Calibri"/>
          <w:b w:val="0"/>
          <w:color w:val="4A4A4A"/>
          <w:sz w:val="18"/>
        </w:rPr>
        <w:t>表2  交易结构对照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条款</w:t>
            </w:r>
          </w:p>
        </w:tc>
        <w:tc>
          <w:tcPr>
            <w:tcW w:type="dxa" w:w="2608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森马</w:t>
            </w:r>
          </w:p>
        </w:tc>
        <w:tc>
          <w:tcPr>
            <w:tcW w:type="dxa" w:w="2608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创智汇</w:t>
            </w:r>
          </w:p>
        </w:tc>
        <w:tc>
          <w:tcPr>
            <w:tcW w:type="dxa" w:w="2494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一滴水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业主性质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民营时尚产业园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区属国企园区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民营餐饮</w:t>
            </w:r>
          </w:p>
        </w:tc>
      </w:tr>
      <w:tr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挂牌名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亚洲潮玩与AI国际领事会客厅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亚洲数字AI产业会客厅</w:t>
            </w:r>
          </w:p>
        </w:tc>
        <w:tc>
          <w:tcPr>
            <w:tcW w:type="dxa" w:w="24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阿拉伯领事会客厅交流基地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占用方式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2000㎡ 专属免租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1000㎡ 专属免租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档期预约，不新占面积</w:t>
            </w:r>
          </w:p>
        </w:tc>
      </w:tr>
      <w:tr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装修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森马全额，资产归森马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园区全额，资产归国有</w:t>
            </w:r>
          </w:p>
        </w:tc>
        <w:tc>
          <w:tcPr>
            <w:tcW w:type="dxa" w:w="24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无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现金流向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园区 → CGC 10万/年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园区 → CGC 10万/年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餐厅 → CGC 10万/年</w:t>
            </w:r>
          </w:p>
        </w:tc>
      </w:tr>
      <w:tr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营销费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园区另设，额度未写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园区另设，额度未写</w:t>
            </w:r>
          </w:p>
        </w:tc>
        <w:tc>
          <w:tcPr>
            <w:tcW w:type="dxa" w:w="24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无；餐费另结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CGC 可量化义务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青年沙龙 ≥3 场/年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无场次 KPI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无场次 KPI</w:t>
            </w:r>
          </w:p>
        </w:tc>
      </w:tr>
      <w:tr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退出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 年 + 空泛绩效评估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同左</w:t>
            </w:r>
          </w:p>
        </w:tc>
        <w:tc>
          <w:tcPr>
            <w:tcW w:type="dxa" w:w="24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终止后拆除标识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转租限制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禁止转租分租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禁止转租分租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禁止转授权品牌</w:t>
            </w:r>
          </w:p>
        </w:tc>
      </w:tr>
    </w:tbl>
    <w:p>
      <w:pPr>
        <w:spacing w:after="160"/>
      </w:pP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一眼能看出两个结构问题。第一，10 万元在三案里数字相同、方向相反：园区是付钱请 CGC 来占地方，餐厅是付钱买挂牌。对内要解释清楚这不是「统一报价」，而是两种生意，否则财务和商务会把它做成错误的标准套餐。第二，森马正文要 2000㎡，合作价值章节又写「1000㎡ 专属空间」——这是从创智汇稿粘贴后没改干净的硬伤。面积差一倍，投资匡算差一倍，不能带着笔误去见森马。</w:t>
      </w:r>
    </w:p>
    <w:p>
      <w:pPr>
        <w:spacing w:before="0" w:after="120"/>
        <w:ind w:firstLine="0"/>
      </w:pPr>
      <w:r>
        <w:rPr>
          <w:rFonts w:ascii="Calibri" w:hAnsi="Calibri" w:eastAsia="WenQuanYi Micro Hei" w:cs="Calibri"/>
          <w:b w:val="0"/>
          <w:color w:val="4A4A4A"/>
          <w:sz w:val="18"/>
        </w:rPr>
        <w:t>表3  对方三年投入数量级匡算（示意，按保守租金和中档装修，不是估价报告）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2608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森马（按 2000㎡）</w:t>
            </w:r>
          </w:p>
        </w:tc>
        <w:tc>
          <w:tcPr>
            <w:tcW w:type="dxa" w:w="2608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创智汇（按 1000㎡）</w:t>
            </w:r>
          </w:p>
        </w:tc>
        <w:tc>
          <w:tcPr>
            <w:tcW w:type="dxa" w:w="2494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一滴水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租金机会成本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800–1200 万/3年</w:t>
              <w:br/>
              <w:t>（按 4–5.5 元/㎡/天）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550–800 万/3年</w:t>
              <w:br/>
              <w:t>（按 5–7 元/㎡/天）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包间/宴会厅档期机会成本，取决于场次</w:t>
            </w:r>
          </w:p>
        </w:tc>
      </w:tr>
      <w:tr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专属装修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600–1200 万</w:t>
              <w:br/>
              <w:t>（3000–6000 元/㎡）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300–600 万</w:t>
            </w:r>
          </w:p>
        </w:tc>
        <w:tc>
          <w:tcPr>
            <w:tcW w:type="dxa" w:w="24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基本为零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现金挂牌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30 万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30 万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餐厅支付 30 万给 CGC</w:t>
            </w:r>
          </w:p>
        </w:tc>
      </w:tr>
      <w:tr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营销与水电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未定价，但文本承诺由对方承担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同左</w:t>
            </w:r>
          </w:p>
        </w:tc>
        <w:tc>
          <w:tcPr>
            <w:tcW w:type="dxa" w:w="24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沙龙免费场地；宴请按优惠价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三年总成本量级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1500–2500 万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900–1500 万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净支出取决于 CGC 能否带来宴会</w:t>
            </w:r>
          </w:p>
        </w:tc>
      </w:tr>
      <w:tr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CGC 锁定承诺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青年沙龙 9 场/3年 + 若干未定量活动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未定量</w:t>
            </w:r>
          </w:p>
        </w:tc>
        <w:tc>
          <w:tcPr>
            <w:tcW w:type="dxa" w:w="24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优先导流，未定量</w:t>
            </w:r>
          </w:p>
        </w:tc>
      </w:tr>
    </w:tbl>
    <w:p>
      <w:pPr>
        <w:spacing w:after="160"/>
      </w:pP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园区两案的投入产出比，用招商口径也很难圆：要证明 1000–2000㎡ 免租能换来对等的外资项目或头部 IP 落户，必须拿出可验证的历史案例、领事确认函和首年招商线索目标。现在这些都没有。一滴水则是「10 万买一块牌 + 赌 CGC 能带宴请」。如果首年能落地 4 场高客单晚宴，餐厅就回本；如果一场都没有，这块牌就成了纯费用。所以一滴水谈判的关键不是再要空间，而是把「优先落地」写成最低场次和档期规则。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四、分案点评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（一）森马稿：产业故事对，要价和文本都过满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潮玩、IP、AIGC 和领事网络之间，确实有一条能讲圆的链条：国产 IP 要出海授权，海外 IP 要来华找渠道和制造，园区缺的是涉外窗口而不是又一栋办公楼。把会客厅嵌进「孵化—IP 开发—跨境对接」也符合吴泾科技时尚小镇的叙事。问题是：2000㎡ 专属已经接近小型美术馆或独立会所，不是「会客厅」。CGC 现有节奏如果仍以午餐会、沙龙、年度慈善晚宴为主，这个面积在非活动日会空转。空转的空间既耗物业，也损害「永不落幕」的观感——参观的人看到的是装修过的闲置，不是国际枢纽。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笔误：</w:t>
      </w:r>
      <w:r>
        <w:rPr>
          <w:rFonts w:ascii="Calibri" w:hAnsi="Calibri" w:eastAsia="WenQuanYi Micro Hei" w:cs="Calibri"/>
          <w:b w:val="0"/>
          <w:color w:val="1A1A1A"/>
          <w:sz w:val="22"/>
        </w:rPr>
        <w:t>正文 2000㎡、价值章节 1000㎡，必须在发出前改掉，并统一功能分区面积表。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主题：</w:t>
      </w:r>
      <w:r>
        <w:rPr>
          <w:rFonts w:ascii="Calibri" w:hAnsi="Calibri" w:eastAsia="WenQuanYi Micro Hei" w:cs="Calibri"/>
          <w:b w:val="0"/>
          <w:color w:val="1A1A1A"/>
          <w:sz w:val="22"/>
        </w:rPr>
        <w:t>与创智汇同时主打 AI，森马应把主词收缩为「潮玩 IP / 消费时尚」，AI 只作工具而不作会客厅名。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企业盘：</w:t>
      </w:r>
      <w:r>
        <w:rPr>
          <w:rFonts w:ascii="Calibri" w:hAnsi="Calibri" w:eastAsia="WenQuanYi Micro Hei" w:cs="Calibri"/>
          <w:b w:val="0"/>
          <w:color w:val="1A1A1A"/>
          <w:sz w:val="22"/>
        </w:rPr>
        <w:t>森马是服饰上市公司体系，园区企业未必已形成可出海的 IP 供给；要先写清首批 20–30 家目标企业，而不是「潮玩 AI 集群」四个字。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过界：</w:t>
      </w:r>
      <w:r>
        <w:rPr>
          <w:rFonts w:ascii="Calibri" w:hAnsi="Calibri" w:eastAsia="WenQuanYi Micro Hei" w:cs="Calibri"/>
          <w:b w:val="0"/>
          <w:color w:val="1A1A1A"/>
          <w:sz w:val="22"/>
        </w:rPr>
        <w:t>「海外 IP 引进、跨境版权、授权法规」容易被理解成法律服务，需改为信息分享，并避开无资质咨询承诺。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（二）创智汇稿：战略价值最高，过会概率最低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如果只看区位，创智汇是三案里最值得做的：杨浦三区融合、高校密度、大创智国家级文化产业示范区、区属平台要出对外开放业绩。会客厅放在这里，和政府外事、投促「错位协同」的说法也最容易被区里听进去。但文本把最难的事写成了最轻的事：1000㎡ 国有存量物业免租三年、全额装修、现金补助，给一家民间机构专属使用，且允许该机构在同一空间向企业收取市场化服务费。对国企而言，这不是「合作建议」，这是国有资产使用、采购或合作项目，通常要进决策清单、评估或招投标路径、审计可追溯。现在的写法过不了北岛科技和杨浦科创集团的法务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存量冲突：</w:t>
      </w:r>
      <w:r>
        <w:rPr>
          <w:rFonts w:ascii="Calibri" w:hAnsi="Calibri" w:eastAsia="WenQuanYi Micro Hei" w:cs="Calibri"/>
          <w:b w:val="0"/>
          <w:color w:val="1A1A1A"/>
          <w:sz w:val="22"/>
        </w:rPr>
        <w:t>园区已有中建四局 AI+IP 中心。必须写清会客厅与它是「国际对接层」还是重复建设，否则内部会认为叠床架屋。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产业口过宽：</w:t>
      </w:r>
      <w:r>
        <w:rPr>
          <w:rFonts w:ascii="Calibri" w:hAnsi="Calibri" w:eastAsia="WenQuanYi Micro Hei" w:cs="Calibri"/>
          <w:b w:val="0"/>
          <w:color w:val="1A1A1A"/>
          <w:sz w:val="22"/>
        </w:rPr>
        <w:t>企业清单写成 AI、数字文创、智能制造、生物医药、跨境贸易，主题却是数字 AI 会客厅，产业口径在撒网。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高校虚写：</w:t>
      </w:r>
      <w:r>
        <w:rPr>
          <w:rFonts w:ascii="Calibri" w:hAnsi="Calibri" w:eastAsia="WenQuanYi Micro Hei" w:cs="Calibri"/>
          <w:b w:val="0"/>
          <w:color w:val="1A1A1A"/>
          <w:sz w:val="22"/>
        </w:rPr>
        <w:t>高校是创智汇独有优势，但「每年举办」没有场次，也没有和复旦、同济哪个学院对接的接口人。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招商权属：</w:t>
      </w:r>
      <w:r>
        <w:rPr>
          <w:rFonts w:ascii="Calibri" w:hAnsi="Calibri" w:eastAsia="WenQuanYi Micro Hei" w:cs="Calibri"/>
          <w:b w:val="0"/>
          <w:color w:val="1A1A1A"/>
          <w:sz w:val="22"/>
        </w:rPr>
        <w:t>「协助对外国际招商推介」会让区投促部门问：线索归谁、算谁的招商口径、失败了谁负责。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（三）一滴水稿：结构最健康，交付最容易空转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这是三案里唯一「对方付钱、我方导流」的正向现金流结构，也是唯一有场景差异的主题：中阿、滨江宴会、包间闭门。餐厅要的是高客单包场，CGC 要的是领事宴请和中阿小范围会谈场地，供需匹配比「给科创园塞一个会客厅」真实。实际控制人的阿联酋地产背景，既可以成为中阿主题的私人背书，也可能把合作目标从餐厅经营悄悄换成个人圈层赋能——文本已经写了「反哺企业主在阿联酋的海外地产业务」。对 CGC 来说，这是资源；对外口径上，不宜把私人地产利益写进合作价值的主句。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口径：</w:t>
      </w:r>
      <w:r>
        <w:rPr>
          <w:rFonts w:ascii="Calibri" w:hAnsi="Calibri" w:eastAsia="WenQuanYi Micro Hei" w:cs="Calibri"/>
          <w:b w:val="0"/>
          <w:color w:val="1A1A1A"/>
          <w:sz w:val="22"/>
        </w:rPr>
        <w:t>价值章节出现「CGC 官方授权」。这和全文「民间、非官方外交」直接打架，发出即留下口实。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地理：</w:t>
      </w:r>
      <w:r>
        <w:rPr>
          <w:rFonts w:ascii="Calibri" w:hAnsi="Calibri" w:eastAsia="WenQuanYi Micro Hei" w:cs="Calibri"/>
          <w:b w:val="0"/>
          <w:color w:val="1A1A1A"/>
          <w:sz w:val="22"/>
        </w:rPr>
        <w:t>「外滩及陆家嘴滨江」跨越黄浦、浦东，选址表述不严谨，对方和媒体都会追问具体地址。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对赌：</w:t>
      </w:r>
      <w:r>
        <w:rPr>
          <w:rFonts w:ascii="Calibri" w:hAnsi="Calibri" w:eastAsia="WenQuanYi Micro Hei" w:cs="Calibri"/>
          <w:b w:val="0"/>
          <w:color w:val="1A1A1A"/>
          <w:sz w:val="22"/>
        </w:rPr>
        <w:t>CGC 承诺「优先保障档期」「导入全品类活动」，但没有最低场次、领事出席人数、取消通知时限。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价格：</w:t>
      </w:r>
      <w:r>
        <w:rPr>
          <w:rFonts w:ascii="Calibri" w:hAnsi="Calibri" w:eastAsia="WenQuanYi Micro Hei" w:cs="Calibri"/>
          <w:b w:val="0"/>
          <w:color w:val="1A1A1A"/>
          <w:sz w:val="22"/>
        </w:rPr>
        <w:t>沙龙免费、宴请优惠，未附价目表；「最优质的服务和价格」无法签约。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慈善：</w:t>
      </w:r>
      <w:r>
        <w:rPr>
          <w:rFonts w:ascii="Calibri" w:hAnsi="Calibri" w:eastAsia="WenQuanYi Micro Hei" w:cs="Calibri"/>
          <w:b w:val="0"/>
          <w:color w:val="1A1A1A"/>
          <w:sz w:val="22"/>
        </w:rPr>
        <w:t>慈善晚宴进商业餐厅，须单列善款账户、义拍合规和发票路径，不能和挂牌费、餐费混在一笔往来里。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五、三案共同的硬伤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1. 套模板痕迹过重，会被对方一眼看穿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前三章逐字级复用，价值章节也是同一套「补齐国际化短板 / 差异化招商 IP / 海外线索导流 / 盘活空间」四段论。这对内部提效应付可以，拿去见森马集团或杨浦科创集团不够。产业园总经理会问：你们在几家园区同时铺？我们是不是其中之一？线索真的「优先」给我吗？现在的文本无法回答，因为根本没有网络治理条款：排他、分轨、冲突活动如何分配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2. 把「领事网络」写成了几乎无限的政府能力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文本反复出现「对接各国中央及地方政府产业部门」「提前解读各国法律法规」「降低投资经营风险」。CGC 作为民间俱乐部，能做的是组织领事或商务官员出席交流、转介商协会、提供非正式介绍。不能替代律师、不能出具法律意见、不能承诺中央部委对接、更不能把营商风险「降低」写进对园区的责任条款。这类句子在招商材料里好看，在合同和事后追责里会反噬。建议统一降级为：邀请驻沪领馆商务官员或商协会代表做信息分享；深度尽调、法务、投资落地另案、另资质、另收费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3. 公益与收费共用同一空间，防火墙只有一句话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分层服务本身是对的：公开沙龙免费，一对一出海、尽调、约访收费，园区不垫付商业服务成本。但空间、品牌、人员是同一套。园区出钱装修的专属场地，CGC 在里面做收费项目，对方一定会问分成、审计和「公益场是不是获客场」。现在只写了「不在补贴范围内」，没有写：公益场与商业场的时间隔离、名单隔离、合同主体、发票、是否允许在会客厅内推销。不写清楚，要么被指责用公共补贴做私活，要么 CGC 自己的销售动作被园区管死。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4. 「年度绩效评估」是空壳，3 年锁定期对 CGC 并不有利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文本想用 3 年换装修和免租，却把考核权交给对方且不定义指标。结果是：空间和装修沉没在对方资产负债表上，CGC 只有使用权；对方随时可以用「绩效不佳」在年审时卡续约或要求增加场次。对 CGC 更稳的结构是：先 6–12 个月活动合作，达到场次和出席门槛再谈专属空间；专属空间先 150–300㎡ 展陈 + 借用公共大厅，而不是 1000㎡ 起。装修若由对方出，应约定合作期内的使用权保障、提前终止时的补偿，而不是单方面「固定装修不可拆除、CGC 走人」。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5. 没有运营方案：谁开门、谁值守、周历是什么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会客厅一旦挂牌，领事、企业、媒体按「点位」来访。文本没有开馆时间、驻场人数、中英文接待标准、安保、礼宾流程、突发舆情预案。也没有第一年 12 个月的活动日历，甚至没有「每月至少 1 场闭门沙龙」这种最低开工率。森马稿里唯一的数字是青年沙龙每年 3 场，创智汇和一滴水连这个数字都没有。对内要先做一份最小运营编制：驻场 2 人 + 活动项目经理 1 人 + 领事关系接口 1 人，并写清工资出自挂牌费、市场化收入还是 CGC 自筹。每年 10 万挂牌费不够养这个班子，这正好说明 10 万不是运营费，只是品牌符号费——文本却把它写成了「专项运营补助」。名实不符。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六、对方会怎么砍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评估策划案不能只看自己想讲什么，还要预演对方会议室里的第一轮反应。下面按「最可能发生」而不是「最客气」来写。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森马侧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招商和运营会感兴趣「国际化窗口」这个词，财务和法务会卡住免租面积。可预期的还价：专属面积降到 150–300㎡ 展厅；大型活动用中庭和森马客厅按次审批；取消每年 10 万现金或改成按有效场次报销；要求 CGC 列出可到场的国别清单和近 12 个月活动业绩；潮玩企业名单由园区提供、CGC 对出席率负责。如果 CGC 不能接受「先活动、后装修」，这次大概率停在宣传合作而不是物业入驻。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创智汇 / 北岛科技 / 杨浦科创集团侧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业务部门可能愿意听，决策链条会拉到国资监管。可预期的还价：不签物业无偿使用，改「场地支持协议」+ 按次免费或优惠；装修走园区自身公共空间改造，不做成 CGC 专属；10 万现金改成活动委托服务采购，要发票和成果清单；国际招商线索必须进区里台账；市场化收费须报备或禁止使用「创智汇领事会客厅」品牌销售。若坚持 1000㎡ 专属，准备被要求资产评估、集体决策和上级报备，周期会以季度计，不是「建议 3 年、马上装修」。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一滴水侧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老板若看重圈层和阿联酋叙事，10 万挂牌费过关的概率高于两园区。餐厅经理则会要：每月保底场次、周五周六晚高峰是否占用、取消补偿、领事级别嘉宾的最低人数、菜单和酒水结算周期。CGC 拥有全部物料终审权，餐厅品牌被置于从属地位，对方公关也会要求对等审核。这一案最接近能签，前提是 CGC 真的拿得出第一季度的两场可售晚宴，而不是只交一块铜牌。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七、合规与品牌风险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外事口径：</w:t>
      </w:r>
      <w:r>
        <w:rPr>
          <w:rFonts w:ascii="Calibri" w:hAnsi="Calibri" w:eastAsia="WenQuanYi Micro Hei" w:cs="Calibri"/>
          <w:b w:val="0"/>
          <w:color w:val="1A1A1A"/>
          <w:sz w:val="22"/>
        </w:rPr>
        <w:t>「领事会客厅」易被听成领馆延伸。对外物料必须固定「民间平台、不代表领馆立场、不承担外交职能」，禁止「官方授权」「官方外交机构」。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领事出席：</w:t>
      </w:r>
      <w:r>
        <w:rPr>
          <w:rFonts w:ascii="Calibri" w:hAnsi="Calibri" w:eastAsia="WenQuanYi Micro Hei" w:cs="Calibri"/>
          <w:b w:val="0"/>
          <w:color w:val="1A1A1A"/>
          <w:sz w:val="22"/>
        </w:rPr>
        <w:t>邀请现任总领事出席商业或招商活动，应走外办报备习惯路径，不要在文本里承诺「各国领事常态化坐镇」。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国资：</w:t>
      </w:r>
      <w:r>
        <w:rPr>
          <w:rFonts w:ascii="Calibri" w:hAnsi="Calibri" w:eastAsia="WenQuanYi Micro Hei" w:cs="Calibri"/>
          <w:b w:val="0"/>
          <w:color w:val="1A1A1A"/>
          <w:sz w:val="22"/>
        </w:rPr>
        <w:t>创智汇免租 + 装修 + 现金，属于国有资产和可能的利益输送审查面，即使动机正当也要走得出书面程序。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经营资质：</w:t>
      </w:r>
      <w:r>
        <w:rPr>
          <w:rFonts w:ascii="Calibri" w:hAnsi="Calibri" w:eastAsia="WenQuanYi Micro Hei" w:cs="Calibri"/>
          <w:b w:val="0"/>
          <w:color w:val="1A1A1A"/>
          <w:sz w:val="22"/>
        </w:rPr>
        <w:t>在补贴场地上向企业收「出海尽调、投融资撮合」费，涉及咨询与中介资质，不能用俱乐部名义一笔代收。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公益资金：</w:t>
      </w:r>
      <w:r>
        <w:rPr>
          <w:rFonts w:ascii="Calibri" w:hAnsi="Calibri" w:eastAsia="WenQuanYi Micro Hei" w:cs="Calibri"/>
          <w:b w:val="0"/>
          <w:color w:val="1A1A1A"/>
          <w:sz w:val="22"/>
        </w:rPr>
        <w:t>慈善晚宴、义拍、自闭症和先心病救助，必须与挂牌费、餐费、市场化服务分账，善款不得冲抵合作成本。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品牌稀释：</w:t>
      </w:r>
      <w:r>
        <w:rPr>
          <w:rFonts w:ascii="Calibri" w:hAnsi="Calibri" w:eastAsia="WenQuanYi Micro Hei" w:cs="Calibri"/>
          <w:b w:val="0"/>
          <w:color w:val="1A1A1A"/>
          <w:sz w:val="22"/>
        </w:rPr>
        <w:t>多点挂牌若质量不齐，金茂旗舰和「总领事文化慈善晚宴」会被连带贬值。宁可少挂，不要满城铜牌。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DECEC" w:val="clear"/>
            <w:tcBorders>
              <w:top w:val="single" w:sz="4" w:space="0" w:color="E4B4B4"/>
              <w:left w:val="single" w:sz="4" w:space="0" w:color="E4B4B4"/>
              <w:bottom w:val="single" w:sz="4" w:space="0" w:color="E4B4B4"/>
              <w:right w:val="single" w:sz="4" w:space="0" w:color="E4B4B4"/>
            </w:tcBorders>
          </w:tcPr>
          <w:p>
            <w:pPr>
              <w:spacing w:before="120" w:after="80"/>
            </w:pPr>
            <w:r/>
            <w:r>
              <w:rPr>
                <w:rFonts w:ascii="Calibri" w:hAnsi="Calibri" w:eastAsia="WenQuanYi Micro Hei" w:cs="Calibri"/>
                <w:b/>
                <w:color w:val="B42318"/>
                <w:sz w:val="24"/>
              </w:rPr>
              <w:t>特别提醒：一滴水稿已出现「CGC 官方授权」</w:t>
            </w:r>
          </w:p>
          <w:p>
            <w:pPr>
              <w:spacing w:after="120" w:line="312" w:lineRule="auto"/>
            </w:pPr>
            <w:r>
              <w:rPr>
                <w:rFonts w:ascii="Calibri" w:hAnsi="Calibri" w:eastAsia="WenQuanYi Micro Hei" w:cs="Calibri"/>
                <w:b w:val="0"/>
                <w:color w:val="1A1A1A"/>
                <w:sz w:val="22"/>
              </w:rPr>
              <w:t>这不是文风问题，是合规问题。只要这一句出现在对方转述、海报或公众号里，民间定位就从内部原则变成对外争议。发出前必须全局替换为「品牌挂牌合作 / 民间交流基地授权使用」。</w:t>
            </w:r>
          </w:p>
        </w:tc>
      </w:tr>
    </w:tbl>
    <w:p>
      <w:pPr>
        <w:spacing w:after="120"/>
      </w:pP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八、建议的网络策略：不要三店齐开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会客厅适合做成「一个旗舰 + 有限卫星」，不适合做成加盟铜牌。建议内部先定网络规则，再对外谈判：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旗舰：</w:t>
      </w:r>
      <w:r>
        <w:rPr>
          <w:rFonts w:ascii="Calibri" w:hAnsi="Calibri" w:eastAsia="WenQuanYi Micro Hei" w:cs="Calibri"/>
          <w:b w:val="0"/>
          <w:color w:val="1A1A1A"/>
          <w:sz w:val="22"/>
        </w:rPr>
        <w:t>金茂或现有俱乐部空间继续承担国别接待和会员会籍，不把高客单价冠名降到 10 万去和卫星点比价。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卫星 A：</w:t>
      </w:r>
      <w:r>
        <w:rPr>
          <w:rFonts w:ascii="Calibri" w:hAnsi="Calibri" w:eastAsia="WenQuanYi Micro Hei" w:cs="Calibri"/>
          <w:b w:val="0"/>
          <w:color w:val="1A1A1A"/>
          <w:sz w:val="22"/>
        </w:rPr>
        <w:t>一滴水做中阿宴会和闭门会谈，定位「场景」不是「园区」。这是最该先打样的卫星点。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卫星 B：</w:t>
      </w:r>
      <w:r>
        <w:rPr>
          <w:rFonts w:ascii="Calibri" w:hAnsi="Calibri" w:eastAsia="WenQuanYi Micro Hei" w:cs="Calibri"/>
          <w:b w:val="0"/>
          <w:color w:val="1A1A1A"/>
          <w:sz w:val="22"/>
        </w:rPr>
        <w:t>创智汇做数字经济与高校青年，定位「科创对接」。先活动入驻，专属面积可谈 100–200㎡ 展陈。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卫星 C：</w:t>
      </w:r>
      <w:r>
        <w:rPr>
          <w:rFonts w:ascii="Calibri" w:hAnsi="Calibri" w:eastAsia="WenQuanYi Micro Hei" w:cs="Calibri"/>
          <w:b w:val="0"/>
          <w:color w:val="1A1A1A"/>
          <w:sz w:val="22"/>
        </w:rPr>
        <w:t>森马做潮玩 IP 与消费出海，定位「产业」。AI 二字从会客厅名称拿掉，避免和创智汇抢同一句话。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分轨：</w:t>
      </w:r>
      <w:r>
        <w:rPr>
          <w:rFonts w:ascii="Calibri" w:hAnsi="Calibri" w:eastAsia="WenQuanYi Micro Hei" w:cs="Calibri"/>
          <w:b w:val="0"/>
          <w:color w:val="1A1A1A"/>
          <w:sz w:val="22"/>
        </w:rPr>
        <w:t>同一国别、同一周，原则上只在一个点举办对公活动；海外线索按产业标签分流，并在月报里向各业主披露去向。</w:t>
      </w:r>
    </w:p>
    <w:p>
      <w:pPr>
        <w:spacing w:before="0" w:after="120"/>
        <w:ind w:firstLine="0"/>
      </w:pPr>
      <w:r>
        <w:rPr>
          <w:rFonts w:ascii="Calibri" w:hAnsi="Calibri" w:eastAsia="WenQuanYi Micro Hei" w:cs="Calibri"/>
          <w:b w:val="0"/>
          <w:color w:val="4A4A4A"/>
          <w:sz w:val="18"/>
        </w:rPr>
        <w:t>表4  建议谈判底线（对内，不直接贴进对方合同）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议题</w:t>
            </w:r>
          </w:p>
        </w:tc>
        <w:tc>
          <w:tcPr>
            <w:tcW w:type="dxa" w:w="272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不建议再要</w:t>
            </w:r>
          </w:p>
        </w:tc>
        <w:tc>
          <w:tcPr>
            <w:tcW w:type="dxa" w:w="2835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可以接受的替代</w:t>
            </w:r>
          </w:p>
        </w:tc>
        <w:tc>
          <w:tcPr>
            <w:tcW w:type="dxa" w:w="2494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CGC 必须拿到的对价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专属面积</w:t>
            </w:r>
          </w:p>
        </w:tc>
        <w:tc>
          <w:tcPr>
            <w:tcW w:type="dxa" w:w="272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森马 2000㎡、创智汇 1000㎡ 一步到位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150–300㎡ 展陈 + 公共大厅按次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书面档期优先权和形象点位</w:t>
            </w:r>
          </w:p>
        </w:tc>
      </w:tr>
      <w:tr>
        <w:tc>
          <w:tcPr>
            <w:tcW w:type="dxa" w:w="13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装修</w:t>
            </w:r>
          </w:p>
        </w:tc>
        <w:tc>
          <w:tcPr>
            <w:tcW w:type="dxa" w:w="272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对方全额按会所标准一次到位</w:t>
            </w:r>
          </w:p>
        </w:tc>
        <w:tc>
          <w:tcPr>
            <w:tcW w:type="dxa" w:w="283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基础展陈由对方做，活动物料 CGC 自担</w:t>
            </w:r>
          </w:p>
        </w:tc>
        <w:tc>
          <w:tcPr>
            <w:tcW w:type="dxa" w:w="24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合作期内使用权和提前终止补偿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10 万现金</w:t>
            </w:r>
          </w:p>
        </w:tc>
        <w:tc>
          <w:tcPr>
            <w:tcW w:type="dxa" w:w="272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无场次的「挂牌补助」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按有效场次报销或活动委托采购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一滴水可保留年费，但绑定保底场次</w:t>
            </w:r>
          </w:p>
        </w:tc>
      </w:tr>
      <w:tr>
        <w:tc>
          <w:tcPr>
            <w:tcW w:type="dxa" w:w="13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期限</w:t>
            </w:r>
          </w:p>
        </w:tc>
        <w:tc>
          <w:tcPr>
            <w:tcW w:type="dxa" w:w="272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无 KPI 的 3 年</w:t>
            </w:r>
          </w:p>
        </w:tc>
        <w:tc>
          <w:tcPr>
            <w:tcW w:type="dxa" w:w="283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12 个月试点 + 达标续约 2 年</w:t>
            </w:r>
          </w:p>
        </w:tc>
        <w:tc>
          <w:tcPr>
            <w:tcW w:type="dxa" w:w="24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试点期达标标准写进协议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收费项目</w:t>
            </w:r>
          </w:p>
        </w:tc>
        <w:tc>
          <w:tcPr>
            <w:tcW w:type="dxa" w:w="272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在对方补贴空间内自由销售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商业项目另签、另地或分成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名单和合同不与公益场混淆</w:t>
            </w:r>
          </w:p>
        </w:tc>
      </w:tr>
    </w:tbl>
    <w:p>
      <w:pPr>
        <w:spacing w:after="160"/>
      </w:pP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九、文本改写清单（发出前必改）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下列各项不改，不建议把 Word 发给对方。改完后每案应能单独回答「你们和其他点有何不同」。</w:t>
      </w:r>
    </w:p>
    <w:p>
      <w:pPr>
        <w:spacing w:before="0" w:after="120"/>
        <w:ind w:firstLine="0"/>
      </w:pPr>
      <w:r>
        <w:rPr>
          <w:rFonts w:ascii="Calibri" w:hAnsi="Calibri" w:eastAsia="WenQuanYi Micro Hei" w:cs="Calibri"/>
          <w:b w:val="0"/>
          <w:color w:val="4A4A4A"/>
          <w:sz w:val="18"/>
        </w:rPr>
        <w:t>表5  三案共性修改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原文问题</w:t>
            </w:r>
          </w:p>
        </w:tc>
        <w:tc>
          <w:tcPr>
            <w:tcW w:type="dxa" w:w="5216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改法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前三章完全复用</w:t>
            </w:r>
          </w:p>
        </w:tc>
        <w:tc>
          <w:tcPr>
            <w:tcW w:type="dxa" w:w="5216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各保留半页 CGC 简介，其余改成该场地专属痛点和首年日历</w:t>
            </w:r>
          </w:p>
        </w:tc>
      </w:tr>
      <w:tr>
        <w:tc>
          <w:tcPr>
            <w:tcW w:type="dxa" w:w="7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3402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无 KPI</w:t>
            </w:r>
          </w:p>
        </w:tc>
        <w:tc>
          <w:tcPr>
            <w:tcW w:type="dxa" w:w="5216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写进：年度对公活动场次、领事/商协会出席场次、企业参会家次、线索条数、月报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「对接中央政府」「降低法律风险」</w:t>
            </w:r>
          </w:p>
        </w:tc>
        <w:tc>
          <w:tcPr>
            <w:tcW w:type="dxa" w:w="5216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改为信息分享与转介，深度服务单列资质和合同</w:t>
            </w:r>
          </w:p>
        </w:tc>
      </w:tr>
      <w:tr>
        <w:tc>
          <w:tcPr>
            <w:tcW w:type="dxa" w:w="7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3402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营销预算无数字</w:t>
            </w:r>
          </w:p>
        </w:tc>
        <w:tc>
          <w:tcPr>
            <w:tcW w:type="dxa" w:w="5216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要么给年度上限，要么改成按次核定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无驻场运营</w:t>
            </w:r>
          </w:p>
        </w:tc>
        <w:tc>
          <w:tcPr>
            <w:tcW w:type="dxa" w:w="5216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补充开馆时间、编制、费用承担、非活动日用途</w:t>
            </w:r>
          </w:p>
        </w:tc>
      </w:tr>
      <w:tr>
        <w:tc>
          <w:tcPr>
            <w:tcW w:type="dxa" w:w="7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3402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公益/商业无隔离</w:t>
            </w:r>
          </w:p>
        </w:tc>
        <w:tc>
          <w:tcPr>
            <w:tcW w:type="dxa" w:w="5216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补时间、名单、合同主体、发票、场内推销规则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无线索权属</w:t>
            </w:r>
          </w:p>
        </w:tc>
        <w:tc>
          <w:tcPr>
            <w:tcW w:type="dxa" w:w="5216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「优先导流」改成书面分流规则和并列抄送</w:t>
            </w:r>
          </w:p>
        </w:tc>
      </w:tr>
      <w:tr>
        <w:tc>
          <w:tcPr>
            <w:tcW w:type="dxa" w:w="79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3402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无样板业绩</w:t>
            </w:r>
          </w:p>
        </w:tc>
        <w:tc>
          <w:tcPr>
            <w:tcW w:type="dxa" w:w="5216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附 12 个月内 3–5 个可核验活动（时间、主题、嘉宾层级、成果）</w:t>
            </w:r>
          </w:p>
        </w:tc>
      </w:tr>
    </w:tbl>
    <w:p>
      <w:pPr>
        <w:spacing w:after="160"/>
      </w:pPr>
    </w:p>
    <w:p>
      <w:pPr>
        <w:spacing w:before="0" w:after="120"/>
        <w:ind w:firstLine="0"/>
      </w:pPr>
      <w:r>
        <w:rPr>
          <w:rFonts w:ascii="Calibri" w:hAnsi="Calibri" w:eastAsia="WenQuanYi Micro Hei" w:cs="Calibri"/>
          <w:b w:val="0"/>
          <w:color w:val="4A4A4A"/>
          <w:sz w:val="18"/>
        </w:rPr>
        <w:t>表6  分案必改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36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案</w:t>
            </w:r>
          </w:p>
        </w:tc>
        <w:tc>
          <w:tcPr>
            <w:tcW w:type="dxa" w:w="8050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必改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森马</w:t>
            </w:r>
          </w:p>
        </w:tc>
        <w:tc>
          <w:tcPr>
            <w:tcW w:type="dxa" w:w="805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统一面积数字；会客厅名称去掉或降级「AI」；专属面积降到可解释规模；补潮玩企业样本名单；青年沙龙 3 场升格为整体年历中的一项而不是唯一 KPI</w:t>
            </w:r>
          </w:p>
        </w:tc>
      </w:tr>
      <w:tr>
        <w:tc>
          <w:tcPr>
            <w:tcW w:type="dxa" w:w="13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创智汇</w:t>
            </w:r>
          </w:p>
        </w:tc>
        <w:tc>
          <w:tcPr>
            <w:tcW w:type="dxa" w:w="8050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删除或重写无偿 1000㎡ 条款；增加国资使用路径；写明与中建四局 AI+IP 中心的分工；收窄产业口径；高校对接落到具体学院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一滴水</w:t>
            </w:r>
          </w:p>
        </w:tc>
        <w:tc>
          <w:tcPr>
            <w:tcW w:type="dxa" w:w="8050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删除「官方授权」；写清具体地址；保底场次（建议试点年不少于 6 场对公活动，其中晚宴不少于 2 场）；附餐费和场地优惠表；私人地产业务移出主价值表述</w:t>
            </w:r>
          </w:p>
        </w:tc>
      </w:tr>
    </w:tbl>
    <w:p>
      <w:pPr>
        <w:spacing w:after="160"/>
      </w:pP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十、90 天验证路径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在重装修和大面积免租之前，用 90 天证明「领事会客厅」不是铜牌。三案可以共用一条验证链，只换场地和主题。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第 1–2 周：</w:t>
      </w:r>
      <w:r>
        <w:rPr>
          <w:rFonts w:ascii="Calibri" w:hAnsi="Calibri" w:eastAsia="WenQuanYi Micro Hei" w:cs="Calibri"/>
          <w:b w:val="0"/>
          <w:color w:val="1A1A1A"/>
          <w:sz w:val="22"/>
        </w:rPr>
        <w:t>各点签「活动合作备忘录」，不签物业无偿使用。明确试点期场次、取消规则、物料口径。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第 3–6 周：</w:t>
      </w:r>
      <w:r>
        <w:rPr>
          <w:rFonts w:ascii="Calibri" w:hAnsi="Calibri" w:eastAsia="WenQuanYi Micro Hei" w:cs="Calibri"/>
          <w:b w:val="0"/>
          <w:color w:val="1A1A1A"/>
          <w:sz w:val="22"/>
        </w:rPr>
        <w:t>一滴水落地 1 场中阿或领事主题晚宴；创智汇或森马落地 1 场 20–30 人闭门沙龙。嘉宾名单须可核验，不做「拟邀请」。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第 7–10 周：</w:t>
      </w:r>
      <w:r>
        <w:rPr>
          <w:rFonts w:ascii="Calibri" w:hAnsi="Calibri" w:eastAsia="WenQuanYi Micro Hei" w:cs="Calibri"/>
          <w:b w:val="0"/>
          <w:color w:val="1A1A1A"/>
          <w:sz w:val="22"/>
        </w:rPr>
        <w:t>输出线索台账（不少于 15 条有企业主体的跟进项）和一场复盘，向对方总经理级汇报。同时给出专属点位的最小面积方案。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第 11–13 周：</w:t>
      </w:r>
      <w:r>
        <w:rPr>
          <w:rFonts w:ascii="Calibri" w:hAnsi="Calibri" w:eastAsia="WenQuanYi Micro Hei" w:cs="Calibri"/>
          <w:b w:val="0"/>
          <w:color w:val="1A1A1A"/>
          <w:sz w:val="22"/>
        </w:rPr>
        <w:t>达标则谈 12 个月空间试点；不达标则停止装修谈判，保留活动合作。禁止用「先装修再请人」倒逼自己。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验证期的成功标准建议写死四条，避免事后各说各话：至少 1 名现任驻沪领事官员或领馆商务负责人出席；单场企业嘉宾不少于 15 家真实主体；活动后 10 个工作日内发出纪要；对方书面确认愿意进入空间条款讨论。四条里缺两条，就还不是会客厅，只是一场论坛执行。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十一、评估结论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这三份策划案证明 CGC 已经从「金茂会所活动」转向「把领事关系产品化到城市空间」。这个转向是对的。错在用同一套话术同时向民营园区、国有园区和餐厅要三种量级完全不同的资源，却没有匹配三种完全不同的交付、治理和合规方案。会客厅可以成为长三角民间涉外的物理入口，前提是先做出一个让人愿意再来的现场，而不是先铺三块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6EE" w:val="clear"/>
            <w:tcBorders>
              <w:top w:val="single" w:sz="4" w:space="0" w:color="A9CDB6"/>
              <w:left w:val="single" w:sz="4" w:space="0" w:color="A9CDB6"/>
              <w:bottom w:val="single" w:sz="4" w:space="0" w:color="A9CDB6"/>
              <w:right w:val="single" w:sz="4" w:space="0" w:color="A9CDB6"/>
            </w:tcBorders>
          </w:tcPr>
          <w:p>
            <w:pPr>
              <w:spacing w:before="120" w:after="80"/>
            </w:pPr>
            <w:r/>
            <w:r>
              <w:rPr>
                <w:rFonts w:ascii="Calibri" w:hAnsi="Calibri" w:eastAsia="WenQuanYi Micro Hei" w:cs="Calibri"/>
                <w:b/>
                <w:color w:val="1F6B3A"/>
                <w:sz w:val="24"/>
              </w:rPr>
              <w:t>可执行结论</w:t>
            </w:r>
          </w:p>
          <w:p>
            <w:pPr>
              <w:spacing w:after="120" w:line="312" w:lineRule="auto"/>
            </w:pPr>
            <w:r>
              <w:rPr>
                <w:rFonts w:ascii="Calibri" w:hAnsi="Calibri" w:eastAsia="WenQuanYi Micro Hei" w:cs="Calibri"/>
                <w:b w:val="0"/>
                <w:color w:val="1A1A1A"/>
                <w:sz w:val="22"/>
              </w:rPr>
              <w:t>一滴水：小改后可以进入商务谈判，绑定保底场次。创智汇：大改，先活动后空间，按国资程序重写。森马：中改，先改笔误和面积，主题与创智汇错开。三案均不建议以当前文本作为合同附件或董事会汇报终稿。</w:t>
            </w:r>
          </w:p>
        </w:tc>
      </w:tr>
    </w:tbl>
    <w:p>
      <w:pPr>
        <w:spacing w:after="120"/>
      </w:pP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附件：评估范围与方法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评估依据为三份原文：《CGC领事会客厅入驻森马上海国际运营中心合作建议》《CGC领事会客厅入驻创智汇合作建议》《CGC领事会客厅入驻尚9·一滴水合作建议》。未做现场踏勘，未核实 CGC 历史活动出席名单，未向三家业主取证。租金和装修数字为上海办公及产业园区常见量级的内部匡算，仅用于判断对价是否失衡，不构成估价。评分是排序工具。若后续补充可核验的领事业绩、企业名单和首季日历，园区两案的「落地可执行」分可明显上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WenQuanYi Micro Hei" w:cs="Calibri"/>
        <w:b w:val="0"/>
        <w:color w:val="4A4A4A"/>
        <w:sz w:val="16"/>
      </w:rPr>
      <w:t>CGC 领事会客厅三案评估  ·  不作为对外发送稿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WenQuanYi Micro Hei" w:cs="Calibri"/>
        <w:b w:val="0"/>
        <w:color w:val="4A4A4A"/>
        <w:sz w:val="16"/>
      </w:rPr>
      <w:t>内部评估意见  ·  仅供决策使用  ·  2026-09-05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