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CGC领事会客厅合作方案修改建议</w:t>
      </w:r>
    </w:p>
    <w:p>
      <w:r>
        <w:t>感谢提供森马、创智汇及尚9·一滴水三份合作方案。整体合作思路具有吸引力，也结合不同场景作了定位。为便于各方内部评估和后续推进，建议下一版重点补充以下内容。</w:t>
      </w:r>
    </w:p>
    <w:p>
      <w:pPr>
        <w:pStyle w:val="Heading1"/>
      </w:pPr>
      <w:r>
        <w:t>一 明确合作主体与资源基础</w:t>
      </w:r>
    </w:p>
    <w:p>
      <w:r>
        <w:t>补充CGC的签约及运营主体、品牌授权依据，并提供可核验的过往活动案例和项目成果，便于各方了解资源基础与服务能力。</w:t>
      </w:r>
    </w:p>
    <w:p>
      <w:pPr>
        <w:pStyle w:val="Heading1"/>
      </w:pPr>
      <w:r>
        <w:t>二 细化年度交付与双方职责</w:t>
      </w:r>
    </w:p>
    <w:p>
      <w:r>
        <w:t>明确年度活动场次、服务企业数量、有效项目线索的认定标准及会后跟进机制，落实双方项目负责人、人员配置和职责分工，使场地、装修及经费投入有对应的交付和验收标准。</w:t>
      </w:r>
    </w:p>
    <w:p>
      <w:pPr>
        <w:pStyle w:val="Heading1"/>
      </w:pPr>
      <w:r>
        <w:t>三 补齐预算与服务收费边界</w:t>
      </w:r>
    </w:p>
    <w:p>
      <w:r>
        <w:t>补充整体预算及各项费用的承担方式，明确挂牌费包含的服务、活动费用的审批和结算机制。同时列明免费服务与收费增值服务的范围，说明企业自愿选择付费服务的安排。</w:t>
      </w:r>
    </w:p>
    <w:p>
      <w:pPr>
        <w:pStyle w:val="Heading1"/>
      </w:pPr>
      <w:r>
        <w:t>四 明确试运营与后续合作安排</w:t>
      </w:r>
    </w:p>
    <w:p>
      <w:r>
        <w:t>建议考虑设置3—6个月试运营期，约定阶段目标、付款节点，以及未达目标时的调整或退出机制。结合试运营结果，再协商长期合作期限和专属空间投入。</w:t>
      </w:r>
    </w:p>
    <w:p>
      <w:pPr>
        <w:pStyle w:val="Heading1"/>
      </w:pPr>
      <w:r>
        <w:t>五 核对基础信息与对外表述</w:t>
      </w:r>
    </w:p>
    <w:p>
      <w:r>
        <w:t>请统一森马方案中2000㎡与1000㎡两种专属面积表述；将尚9·一滴水的项目地址修正为上海市虹口区北外滩东大名路500号。请根据实际授权关系规范“CGC官方授权”等用语，如为品牌授权，建议统一表述为“CGC品牌授权”。建议删除与本项目主线关联较弱的迪拜地产业务赋能内容，保持对外方案聚焦本次合作。</w:t>
      </w:r>
    </w:p>
    <w:p>
      <w:pPr>
        <w:spacing w:before="200"/>
      </w:pPr>
      <w:r>
        <w:t>期待在补充上述内容后，进一步细化合作方式与实施安排。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20"/>
    </w:pPr>
    <w:rPr>
      <w:rFonts w:ascii="宋体" w:hAnsi="宋体" w:eastAsia="宋体" w:cs="宋体"/>
      <w:b w:val="0"/>
      <w:color w:val="000000"/>
      <w:sz w:val="23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 w:line="288" w:lineRule="auto"/>
      <w:outlineLvl w:val="0"/>
    </w:pPr>
    <w:rPr>
      <w:rFonts w:ascii="微软雅黑" w:hAnsi="微软雅黑" w:eastAsia="微软雅黑" w:cs="微软雅黑"/>
      <w:b/>
      <w:bCs/>
      <w:color w:val="000000"/>
      <w:sz w:val="24"/>
      <w:szCs w:val="28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276" w:lineRule="auto" w:before="0"/>
      <w:contextualSpacing/>
    </w:pPr>
    <w:rPr>
      <w:rFonts w:ascii="微软雅黑" w:hAnsi="微软雅黑" w:eastAsia="微软雅黑" w:cs="微软雅黑"/>
      <w:b/>
      <w:color w:val="000000"/>
      <w:spacing w:val="5"/>
      <w:kern w:val="28"/>
      <w:sz w:val="38"/>
      <w:szCs w:val="52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CGC领事会客厅合作方案修改建议</dc:title>
  <dc:subject>森马 创智汇 尚9一滴水合作方案反馈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