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336" w:lineRule="auto"/>
        <w:jc w:val="center"/>
      </w:pPr>
      <w:r>
        <w:rPr>
          <w:rFonts w:ascii="黑体" w:hAnsi="黑体" w:eastAsia="黑体" w:cs="黑体"/>
          <w:b/>
          <w:sz w:val="40"/>
        </w:rPr>
        <w:t>2026人工智能商业化落地与硬核投资破局峰会</w:t>
      </w:r>
    </w:p>
    <w:p>
      <w:pPr>
        <w:spacing w:after="280" w:before="0" w:line="336" w:lineRule="auto"/>
        <w:jc w:val="center"/>
      </w:pPr>
      <w:r>
        <w:rPr>
          <w:rFonts w:ascii="黑体" w:hAnsi="黑体" w:eastAsia="黑体" w:cs="黑体"/>
          <w:b/>
          <w:sz w:val="36"/>
        </w:rPr>
        <w:t>官方智慧出行伙伴合作协议</w:t>
      </w:r>
    </w:p>
    <w:p>
      <w:pPr>
        <w:spacing w:after="80" w:line="360" w:lineRule="auto"/>
        <w:jc w:val="left"/>
      </w:pPr>
      <w:r>
        <w:rPr>
          <w:rFonts w:ascii="宋体" w:hAnsi="宋体" w:eastAsia="宋体" w:cs="宋体"/>
          <w:b/>
          <w:sz w:val="22"/>
        </w:rPr>
        <w:t>甲方（主办方）：</w:t>
      </w:r>
      <w:r>
        <w:rPr>
          <w:rFonts w:ascii="宋体" w:hAnsi="宋体" w:eastAsia="宋体" w:cs="宋体"/>
          <w:b w:val="0"/>
          <w:sz w:val="22"/>
        </w:rPr>
        <w:t>人工智能商业化落地峰会组委会 / 复旦大学住房政策研究中心</w:t>
      </w:r>
    </w:p>
    <w:p>
      <w:pPr>
        <w:spacing w:after="200" w:line="360" w:lineRule="auto"/>
        <w:jc w:val="left"/>
      </w:pPr>
      <w:r>
        <w:rPr>
          <w:rFonts w:ascii="宋体" w:hAnsi="宋体" w:eastAsia="宋体" w:cs="宋体"/>
          <w:b/>
          <w:sz w:val="22"/>
        </w:rPr>
        <w:t>乙方（赞助方）：</w:t>
      </w:r>
      <w:r>
        <w:rPr>
          <w:rFonts w:ascii="宋体" w:hAnsi="宋体" w:eastAsia="宋体" w:cs="宋体"/>
          <w:b w:val="0"/>
          <w:sz w:val="22"/>
        </w:rPr>
        <w:t>上海冠松汽车股份有限公司（华为鸿蒙智行授权合作伙伴）</w:t>
      </w:r>
    </w:p>
    <w:p>
      <w:pPr>
        <w:spacing w:after="200" w:before="0" w:line="360" w:lineRule="auto"/>
        <w:ind w:firstLine="420"/>
        <w:jc w:val="left"/>
      </w:pPr>
      <w:r>
        <w:rPr>
          <w:rFonts w:ascii="宋体" w:hAnsi="宋体" w:eastAsia="宋体" w:cs="宋体"/>
          <w:b w:val="0"/>
          <w:sz w:val="22"/>
        </w:rPr>
        <w:t>鉴于甲方拥有顶尖的政企智库资源及长三角前沿科技产融生态，乙方系国内领先的汽车经销商集团及华为鸿蒙智行授权合作伙伴。双方本着优势互补、资源共享的原则，就乙方作为本次峰会“官方指定智慧出行独家伙伴”事宜，达成如下协议：</w:t>
      </w:r>
    </w:p>
    <w:p>
      <w:pPr>
        <w:spacing w:after="120" w:before="160" w:line="336" w:lineRule="auto"/>
        <w:jc w:val="left"/>
      </w:pPr>
      <w:r>
        <w:rPr>
          <w:rFonts w:ascii="黑体" w:hAnsi="黑体" w:eastAsia="黑体" w:cs="黑体"/>
          <w:b/>
          <w:sz w:val="26"/>
        </w:rPr>
        <w:t>第一条　合作级别与赞助标的说明</w:t>
      </w:r>
    </w:p>
    <w:p>
      <w:pPr>
        <w:spacing w:after="120" w:line="360" w:lineRule="auto"/>
        <w:jc w:val="left"/>
      </w:pPr>
      <w:r>
        <w:rPr>
          <w:rFonts w:ascii="宋体" w:hAnsi="宋体" w:eastAsia="宋体" w:cs="宋体"/>
          <w:b/>
          <w:sz w:val="22"/>
        </w:rPr>
        <w:t>1. 合作身份：</w:t>
      </w:r>
      <w:r>
        <w:rPr>
          <w:rFonts w:ascii="宋体" w:hAnsi="宋体" w:eastAsia="宋体" w:cs="宋体"/>
          <w:b w:val="0"/>
          <w:sz w:val="22"/>
        </w:rPr>
        <w:t>乙方作为本次峰会及高净值私局的“钻石赞助商”及“官方指定智慧出行独家伙伴”。</w:t>
      </w:r>
    </w:p>
    <w:p>
      <w:pPr>
        <w:spacing w:after="120" w:line="360" w:lineRule="auto"/>
        <w:jc w:val="left"/>
      </w:pPr>
      <w:r>
        <w:rPr>
          <w:rFonts w:ascii="宋体" w:hAnsi="宋体" w:eastAsia="宋体" w:cs="宋体"/>
          <w:b/>
          <w:sz w:val="22"/>
        </w:rPr>
        <w:t>2. 综合赞助标的额：</w:t>
      </w:r>
      <w:r>
        <w:rPr>
          <w:rFonts w:ascii="宋体" w:hAnsi="宋体" w:eastAsia="宋体" w:cs="宋体"/>
          <w:b w:val="0"/>
          <w:sz w:val="22"/>
        </w:rPr>
        <w:t>乙方为本次活动提供专项赞助（含现金及高端接驳车队等重资产实物调用对价），总计金额为</w:t>
      </w:r>
      <w:r>
        <w:rPr>
          <w:rFonts w:ascii="宋体" w:hAnsi="宋体" w:eastAsia="宋体" w:cs="宋体"/>
          <w:b/>
          <w:sz w:val="22"/>
        </w:rPr>
        <w:t>人民币 200,000 元（大写：贰拾万元整）</w:t>
      </w:r>
      <w:r>
        <w:rPr>
          <w:rFonts w:ascii="宋体" w:hAnsi="宋体" w:eastAsia="宋体" w:cs="宋体"/>
          <w:b w:val="0"/>
          <w:sz w:val="22"/>
        </w:rPr>
        <w:t>。</w:t>
      </w:r>
    </w:p>
    <w:p>
      <w:pPr>
        <w:spacing w:after="120" w:line="360" w:lineRule="auto"/>
        <w:jc w:val="left"/>
      </w:pPr>
      <w:r>
        <w:rPr>
          <w:rFonts w:ascii="宋体" w:hAnsi="宋体" w:eastAsia="宋体" w:cs="宋体"/>
          <w:b/>
          <w:sz w:val="22"/>
        </w:rPr>
        <w:t>3. 资金与资源定向消耗：</w:t>
      </w:r>
      <w:r>
        <w:rPr>
          <w:rFonts w:ascii="宋体" w:hAnsi="宋体" w:eastAsia="宋体" w:cs="宋体"/>
          <w:b w:val="0"/>
          <w:sz w:val="22"/>
        </w:rPr>
        <w:t>双方在此明确约定，</w:t>
      </w:r>
      <w:r>
        <w:rPr>
          <w:rFonts w:ascii="宋体" w:hAnsi="宋体" w:eastAsia="宋体" w:cs="宋体"/>
          <w:b/>
          <w:sz w:val="22"/>
        </w:rPr>
        <w:t>上述 20 万元赞助对价仅限用于且全部消耗于“本次峰会当期”的专属落地执行。</w:t>
      </w:r>
      <w:r>
        <w:rPr>
          <w:rFonts w:ascii="宋体" w:hAnsi="宋体" w:eastAsia="宋体" w:cs="宋体"/>
          <w:b w:val="0"/>
          <w:sz w:val="22"/>
        </w:rPr>
        <w:t>该笔专项对价的消耗范围涵盖但不限于：</w:t>
      </w:r>
    </w:p>
    <w:p>
      <w:pPr>
        <w:spacing w:after="80" w:before="0" w:line="360" w:lineRule="auto"/>
        <w:ind w:firstLine="420"/>
        <w:jc w:val="left"/>
      </w:pPr>
      <w:r>
        <w:rPr>
          <w:rFonts w:ascii="宋体" w:hAnsi="宋体" w:eastAsia="宋体" w:cs="宋体"/>
          <w:b w:val="0"/>
          <w:sz w:val="22"/>
        </w:rPr>
        <w:t>• 北外滩核心地标的专属江景车辆特装展位费及动线规划费；</w:t>
      </w:r>
    </w:p>
    <w:p>
      <w:pPr>
        <w:spacing w:after="80" w:before="0" w:line="360" w:lineRule="auto"/>
        <w:ind w:firstLine="420"/>
        <w:jc w:val="left"/>
      </w:pPr>
      <w:r>
        <w:rPr>
          <w:rFonts w:ascii="宋体" w:hAnsi="宋体" w:eastAsia="宋体" w:cs="宋体"/>
          <w:b w:val="0"/>
          <w:sz w:val="22"/>
        </w:rPr>
        <w:t>• 峰会当期华为鸿蒙智行高端车队的独家调度运营（含车辆折旧成本、全险、专职司机劳务及高端接待标准成本）；</w:t>
      </w:r>
    </w:p>
    <w:p>
      <w:pPr>
        <w:spacing w:after="80" w:before="0" w:line="360" w:lineRule="auto"/>
        <w:ind w:firstLine="420"/>
        <w:jc w:val="left"/>
      </w:pPr>
      <w:r>
        <w:rPr>
          <w:rFonts w:ascii="宋体" w:hAnsi="宋体" w:eastAsia="宋体" w:cs="宋体"/>
          <w:b w:val="0"/>
          <w:sz w:val="22"/>
        </w:rPr>
        <w:t>• 峰会现场高净值VIP专属试乘试驾动线的安保及综合运营保障支出。</w:t>
      </w:r>
    </w:p>
    <w:p>
      <w:pPr>
        <w:spacing w:after="120" w:before="160" w:line="336" w:lineRule="auto"/>
        <w:jc w:val="left"/>
      </w:pPr>
      <w:r>
        <w:rPr>
          <w:rFonts w:ascii="黑体" w:hAnsi="黑体" w:eastAsia="黑体" w:cs="黑体"/>
          <w:b/>
          <w:sz w:val="26"/>
        </w:rPr>
        <w:t>第二条　甲方当期核心交付权益</w:t>
      </w:r>
    </w:p>
    <w:p>
      <w:pPr>
        <w:spacing w:after="120" w:line="360" w:lineRule="auto"/>
        <w:jc w:val="left"/>
      </w:pPr>
      <w:r>
        <w:rPr>
          <w:rFonts w:ascii="宋体" w:hAnsi="宋体" w:eastAsia="宋体" w:cs="宋体"/>
          <w:b w:val="0"/>
          <w:sz w:val="22"/>
        </w:rPr>
        <w:t>甲方在</w:t>
      </w:r>
      <w:r>
        <w:rPr>
          <w:rFonts w:ascii="宋体" w:hAnsi="宋体" w:eastAsia="宋体" w:cs="宋体"/>
          <w:b/>
          <w:sz w:val="22"/>
        </w:rPr>
        <w:t>本次峰会现场</w:t>
      </w:r>
      <w:r>
        <w:rPr>
          <w:rFonts w:ascii="宋体" w:hAnsi="宋体" w:eastAsia="宋体" w:cs="宋体"/>
          <w:b w:val="0"/>
          <w:sz w:val="22"/>
        </w:rPr>
        <w:t>，向乙方交付以下顶级品牌与转化权益：</w:t>
      </w:r>
    </w:p>
    <w:p>
      <w:pPr>
        <w:spacing w:after="120" w:line="360" w:lineRule="auto"/>
        <w:jc w:val="left"/>
      </w:pPr>
      <w:r>
        <w:rPr>
          <w:rFonts w:ascii="宋体" w:hAnsi="宋体" w:eastAsia="宋体" w:cs="宋体"/>
          <w:b/>
          <w:sz w:val="22"/>
        </w:rPr>
        <w:t>1. 核心场景曝光：</w:t>
      </w:r>
      <w:r>
        <w:rPr>
          <w:rFonts w:ascii="宋体" w:hAnsi="宋体" w:eastAsia="宋体" w:cs="宋体"/>
          <w:b w:val="0"/>
          <w:sz w:val="22"/>
        </w:rPr>
        <w:t>乙方享有本次峰会主视觉背景板、签到处及官方宣传中的“官方指定智慧出行伙伴”专属顶级Logo露出。</w:t>
      </w:r>
    </w:p>
    <w:p>
      <w:pPr>
        <w:spacing w:after="120" w:line="360" w:lineRule="auto"/>
        <w:jc w:val="left"/>
      </w:pPr>
      <w:r>
        <w:rPr>
          <w:rFonts w:ascii="宋体" w:hAnsi="宋体" w:eastAsia="宋体" w:cs="宋体"/>
          <w:b/>
          <w:sz w:val="22"/>
        </w:rPr>
        <w:t>2. 高端实车特展：</w:t>
      </w:r>
      <w:r>
        <w:rPr>
          <w:rFonts w:ascii="宋体" w:hAnsi="宋体" w:eastAsia="宋体" w:cs="宋体"/>
          <w:b w:val="0"/>
          <w:sz w:val="22"/>
        </w:rPr>
        <w:t>甲方在北外滩会场核心区域为乙方划定专属江景实车展位，用于全方位展示乙方华为鸿蒙智行系列（如尊界、问界M9等）的智能座舱与高阶智驾体验。</w:t>
      </w:r>
    </w:p>
    <w:p>
      <w:pPr>
        <w:spacing w:after="120" w:line="360" w:lineRule="auto"/>
        <w:jc w:val="left"/>
      </w:pPr>
      <w:r>
        <w:rPr>
          <w:rFonts w:ascii="宋体" w:hAnsi="宋体" w:eastAsia="宋体" w:cs="宋体"/>
          <w:b/>
          <w:sz w:val="22"/>
        </w:rPr>
        <w:t>3. 高净值圈层现场导流：</w:t>
      </w:r>
      <w:r>
        <w:rPr>
          <w:rFonts w:ascii="宋体" w:hAnsi="宋体" w:eastAsia="宋体" w:cs="宋体"/>
          <w:b w:val="0"/>
          <w:sz w:val="22"/>
        </w:rPr>
        <w:t>甲方利用自身政商顶级圈层，在峰会期间为乙方定向引荐具备大宗换车及企业集中采购需求的高净值人群（重点覆盖头部房企高管、算力大厂代表、科创企业创始人及顶尖智库学者），并由乙方团队在现场闭门对接。</w:t>
      </w:r>
    </w:p>
    <w:p>
      <w:pPr>
        <w:spacing w:after="120" w:before="160" w:line="336" w:lineRule="auto"/>
        <w:jc w:val="left"/>
      </w:pPr>
      <w:r>
        <w:rPr>
          <w:rFonts w:ascii="黑体" w:hAnsi="黑体" w:eastAsia="黑体" w:cs="黑体"/>
          <w:b/>
          <w:sz w:val="26"/>
        </w:rPr>
        <w:t>第三条　长效生态延伸权益（战略附赠）</w:t>
      </w:r>
    </w:p>
    <w:p>
      <w:pPr>
        <w:spacing w:after="120" w:before="0" w:line="360" w:lineRule="auto"/>
        <w:jc w:val="left"/>
      </w:pPr>
      <w:r>
        <w:rPr>
          <w:rFonts w:ascii="宋体" w:hAnsi="宋体" w:eastAsia="宋体" w:cs="宋体"/>
          <w:b w:val="0"/>
          <w:sz w:val="22"/>
        </w:rPr>
        <w:t>鉴于乙方在本次峰会中展现的顶级赞助诚意及双方在智慧出行领域的共识，甲方同意在本次活动之外，基于长三角新质产融生态的整体战略框架，向乙方额外开放以下延伸赋能权益（本条款下所有权益均为组委会战略附赠，不计入第一条之当期财务核算体系，亦不作单项计价）：</w:t>
      </w:r>
    </w:p>
    <w:p>
      <w:pPr>
        <w:spacing w:after="120" w:line="360" w:lineRule="auto"/>
        <w:jc w:val="left"/>
      </w:pPr>
      <w:r>
        <w:rPr>
          <w:rFonts w:ascii="宋体" w:hAnsi="宋体" w:eastAsia="宋体" w:cs="宋体"/>
          <w:b/>
          <w:sz w:val="22"/>
        </w:rPr>
        <w:t>1. 常态化圈层入场：</w:t>
      </w:r>
      <w:r>
        <w:rPr>
          <w:rFonts w:ascii="宋体" w:hAnsi="宋体" w:eastAsia="宋体" w:cs="宋体"/>
          <w:b w:val="0"/>
          <w:sz w:val="22"/>
        </w:rPr>
        <w:t>乙方自动成为“见微知海新质商业生态”年度战略理事单位，享有未来半年内组委会举办的其他系列闭门私局的优先参与权。</w:t>
      </w:r>
    </w:p>
    <w:p>
      <w:pPr>
        <w:spacing w:after="120" w:line="360" w:lineRule="auto"/>
        <w:jc w:val="left"/>
      </w:pPr>
      <w:r>
        <w:rPr>
          <w:rFonts w:ascii="宋体" w:hAnsi="宋体" w:eastAsia="宋体" w:cs="宋体"/>
          <w:b/>
          <w:sz w:val="22"/>
        </w:rPr>
        <w:t>2. 大宗采购优先匹配：</w:t>
      </w:r>
      <w:r>
        <w:rPr>
          <w:rFonts w:ascii="宋体" w:hAnsi="宋体" w:eastAsia="宋体" w:cs="宋体"/>
          <w:b w:val="0"/>
          <w:sz w:val="22"/>
        </w:rPr>
        <w:t>针对后续组委会生态内成功跑通的重资产企业、科创园区及超级个体，如有高端商务用车集中采购或高管换车需求，甲方将优先向乙方及华为鸿蒙智行体系进行线索导入与商业撮合。</w:t>
      </w:r>
    </w:p>
    <w:p>
      <w:pPr>
        <w:spacing w:after="120" w:line="360" w:lineRule="auto"/>
        <w:jc w:val="left"/>
      </w:pPr>
      <w:r>
        <w:rPr>
          <w:rFonts w:ascii="宋体" w:hAnsi="宋体" w:eastAsia="宋体" w:cs="宋体"/>
          <w:b/>
          <w:sz w:val="22"/>
        </w:rPr>
        <w:t>3. 前沿课题共建：</w:t>
      </w:r>
      <w:r>
        <w:rPr>
          <w:rFonts w:ascii="宋体" w:hAnsi="宋体" w:eastAsia="宋体" w:cs="宋体"/>
          <w:b w:val="0"/>
          <w:sz w:val="22"/>
        </w:rPr>
        <w:t>甲方智库团队在进行“智慧城市与新质人居”相关学术及商业课题调研时，优先将乙方及华为生态作为研究样板与联合发布方。</w:t>
      </w:r>
    </w:p>
    <w:p>
      <w:pPr>
        <w:spacing w:after="120" w:before="160" w:line="336" w:lineRule="auto"/>
        <w:jc w:val="left"/>
      </w:pPr>
      <w:r>
        <w:rPr>
          <w:rFonts w:ascii="黑体" w:hAnsi="黑体" w:eastAsia="黑体" w:cs="黑体"/>
          <w:b/>
          <w:sz w:val="26"/>
        </w:rPr>
        <w:t>第四条　保密与对标豁免</w:t>
      </w:r>
    </w:p>
    <w:p>
      <w:pPr>
        <w:spacing w:after="120" w:line="360" w:lineRule="auto"/>
        <w:jc w:val="left"/>
      </w:pPr>
      <w:r>
        <w:rPr>
          <w:rFonts w:ascii="宋体" w:hAnsi="宋体" w:eastAsia="宋体" w:cs="宋体"/>
          <w:b/>
          <w:sz w:val="22"/>
        </w:rPr>
        <w:t>1. 商业机密保护：</w:t>
      </w:r>
      <w:r>
        <w:rPr>
          <w:rFonts w:ascii="宋体" w:hAnsi="宋体" w:eastAsia="宋体" w:cs="宋体"/>
          <w:b w:val="0"/>
          <w:sz w:val="22"/>
        </w:rPr>
        <w:t>本协议第一条体现了甲乙双方最核心的高端重资产调度折算成本，未经双方书面同意，任何一方不得向第三方披露本协议相关的实物折算明细清单及底层财务核算逻辑。</w:t>
      </w:r>
    </w:p>
    <w:p>
      <w:pPr>
        <w:spacing w:after="120" w:line="360" w:lineRule="auto"/>
        <w:jc w:val="left"/>
      </w:pPr>
      <w:r>
        <w:rPr>
          <w:rFonts w:ascii="宋体" w:hAnsi="宋体" w:eastAsia="宋体" w:cs="宋体"/>
          <w:b/>
          <w:sz w:val="22"/>
        </w:rPr>
        <w:t>2. 独立横向比对豁免：</w:t>
      </w:r>
      <w:r>
        <w:rPr>
          <w:rFonts w:ascii="宋体" w:hAnsi="宋体" w:eastAsia="宋体" w:cs="宋体"/>
          <w:b w:val="0"/>
          <w:sz w:val="22"/>
        </w:rPr>
        <w:t>为促成更广泛的产融生态建设，</w:t>
      </w:r>
      <w:r>
        <w:rPr>
          <w:rFonts w:ascii="宋体" w:hAnsi="宋体" w:eastAsia="宋体" w:cs="宋体"/>
          <w:b/>
          <w:sz w:val="22"/>
        </w:rPr>
        <w:t>甲方有权在对外招商及面向同级别头部企业（如头部商业地产、大型科技巨头等）进行横向比对与资质说明时，合法出示本协议及合作总金额</w:t>
      </w:r>
      <w:r>
        <w:rPr>
          <w:rFonts w:ascii="宋体" w:hAnsi="宋体" w:eastAsia="宋体" w:cs="宋体"/>
          <w:b w:val="0"/>
          <w:sz w:val="22"/>
        </w:rPr>
        <w:t>，以证明本组委会系列活动的顶级市场公允估值与合作门槛。</w:t>
      </w:r>
    </w:p>
    <w:p>
      <w:pPr>
        <w:spacing w:after="120" w:before="160" w:line="336" w:lineRule="auto"/>
        <w:jc w:val="left"/>
      </w:pPr>
      <w:r>
        <w:rPr>
          <w:rFonts w:ascii="黑体" w:hAnsi="黑体" w:eastAsia="黑体" w:cs="黑体"/>
          <w:b/>
          <w:sz w:val="26"/>
        </w:rPr>
        <w:t>第五条　签署与生效</w:t>
      </w:r>
    </w:p>
    <w:p>
      <w:pPr>
        <w:spacing w:after="120" w:before="0" w:line="360" w:lineRule="auto"/>
        <w:ind w:firstLine="420"/>
        <w:jc w:val="left"/>
      </w:pPr>
      <w:r>
        <w:rPr>
          <w:rFonts w:ascii="宋体" w:hAnsi="宋体" w:eastAsia="宋体" w:cs="宋体"/>
          <w:b w:val="0"/>
          <w:sz w:val="22"/>
        </w:rPr>
        <w:t>本协议一式两份，甲乙双方各执一份。自双方法定代表人或授权代表签字并加盖公章（或合同专用章、组委会印章）之日起生效，具有同等法律效力。</w:t>
      </w:r>
    </w:p>
    <w:p>
      <w:pPr>
        <w:spacing w:after="360" w:before="200" w:line="360" w:lineRule="auto"/>
        <w:jc w:val="center"/>
      </w:pPr>
      <w:r>
        <w:rPr>
          <w:rFonts w:ascii="宋体" w:hAnsi="宋体" w:eastAsia="宋体" w:cs="宋体"/>
          <w:b w:val="0"/>
          <w:sz w:val="22"/>
        </w:rPr>
        <w:t>（以下无正文）</w:t>
      </w:r>
    </w:p>
    <w:tbl>
      <w:tblPr>
        <w:tblW w:type="auto" w:w="0"/>
        <w:tblLayout w:type="fixed"/>
        <w:tblLook w:firstColumn="1" w:firstRow="1" w:lastColumn="0" w:lastRow="0" w:noHBand="0" w:noVBand="1" w:val="04A0"/>
      </w:tblPr>
      <w:tblGrid>
        <w:gridCol w:w="4533"/>
        <w:gridCol w:w="4533"/>
      </w:tblGrid>
      <w:tr>
        <w:tc>
          <w:tcPr>
            <w:tcW w:type="dxa" w:w="4252"/>
            <w:vAlign w:val="top"/>
          </w:tcPr>
          <w:p>
            <w:pPr>
              <w:spacing w:after="160"/>
            </w:pPr>
            <w:r/>
            <w:r>
              <w:rPr>
                <w:rFonts w:ascii="宋体" w:hAnsi="宋体" w:eastAsia="宋体" w:cs="宋体"/>
                <w:b/>
                <w:sz w:val="22"/>
              </w:rPr>
              <w:t>甲方：</w:t>
            </w:r>
            <w:r>
              <w:rPr>
                <w:rFonts w:ascii="宋体" w:hAnsi="宋体" w:eastAsia="宋体" w:cs="宋体"/>
                <w:b w:val="0"/>
                <w:sz w:val="22"/>
              </w:rPr>
              <w:t>人工智能商业化落地峰会组委会 /</w:t>
              <w:br/>
              <w:t>上海市杨浦区科技企业联合会（盖章）</w:t>
            </w:r>
          </w:p>
          <w:p>
            <w:pPr>
              <w:spacing w:after="280"/>
            </w:pPr>
            <w:r>
              <w:rPr>
                <w:rFonts w:ascii="宋体" w:hAnsi="宋体" w:eastAsia="宋体" w:cs="宋体"/>
                <w:b w:val="0"/>
                <w:sz w:val="22"/>
              </w:rPr>
              <w:t>授权代表签字：</w:t>
            </w:r>
          </w:p>
          <w:p>
            <w:pPr>
              <w:spacing w:after="280"/>
            </w:pPr>
            <w:r>
              <w:rPr>
                <w:rFonts w:ascii="宋体" w:hAnsi="宋体" w:eastAsia="宋体" w:cs="宋体"/>
                <w:b w:val="0"/>
                <w:sz w:val="22"/>
              </w:rPr>
            </w:r>
          </w:p>
          <w:p>
            <w:pPr>
              <w:spacing w:after="280"/>
            </w:pPr>
            <w:r>
              <w:rPr>
                <w:rFonts w:ascii="宋体" w:hAnsi="宋体" w:eastAsia="宋体" w:cs="宋体"/>
                <w:b w:val="0"/>
                <w:sz w:val="22"/>
              </w:rPr>
              <w:t>日期：2026 年    月    日</w:t>
            </w:r>
          </w:p>
        </w:tc>
        <w:tc>
          <w:tcPr>
            <w:tcW w:type="dxa" w:w="4252"/>
            <w:vAlign w:val="top"/>
          </w:tcPr>
          <w:p>
            <w:pPr>
              <w:spacing w:after="160"/>
            </w:pPr>
            <w:r/>
            <w:r>
              <w:rPr>
                <w:rFonts w:ascii="宋体" w:hAnsi="宋体" w:eastAsia="宋体" w:cs="宋体"/>
                <w:b/>
                <w:sz w:val="22"/>
              </w:rPr>
              <w:t>乙方：</w:t>
            </w:r>
            <w:r>
              <w:rPr>
                <w:rFonts w:ascii="宋体" w:hAnsi="宋体" w:eastAsia="宋体" w:cs="宋体"/>
                <w:b w:val="0"/>
                <w:sz w:val="22"/>
              </w:rPr>
              <w:t>上海冠松汽车股份有限公司（盖章）</w:t>
            </w:r>
          </w:p>
          <w:p>
            <w:pPr>
              <w:spacing w:after="280"/>
            </w:pPr>
            <w:r>
              <w:rPr>
                <w:rFonts w:ascii="宋体" w:hAnsi="宋体" w:eastAsia="宋体" w:cs="宋体"/>
                <w:b w:val="0"/>
                <w:sz w:val="22"/>
              </w:rPr>
              <w:t>授权代表签字：</w:t>
            </w:r>
          </w:p>
          <w:p>
            <w:pPr>
              <w:spacing w:after="280"/>
            </w:pPr>
            <w:r>
              <w:rPr>
                <w:rFonts w:ascii="宋体" w:hAnsi="宋体" w:eastAsia="宋体" w:cs="宋体"/>
                <w:b w:val="0"/>
                <w:sz w:val="22"/>
              </w:rPr>
            </w:r>
          </w:p>
          <w:p>
            <w:pPr>
              <w:spacing w:after="280"/>
            </w:pPr>
            <w:r>
              <w:rPr>
                <w:rFonts w:ascii="宋体" w:hAnsi="宋体" w:eastAsia="宋体" w:cs="宋体"/>
                <w:b w:val="0"/>
                <w:sz w:val="22"/>
              </w:rPr>
              <w:t>日期：2026 年    月    日</w:t>
            </w:r>
          </w:p>
        </w:tc>
      </w:tr>
    </w:tbl>
    <w:sectPr w:rsidR="00FC693F" w:rsidRPr="0006063C" w:rsidSect="00034616">
      <w:pgSz w:w="12240" w:h="15840"/>
      <w:pgMar w:top="1247" w:right="158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