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微软雅黑" w:hAnsi="微软雅黑" w:eastAsia="微软雅黑"/>
          <w:b/>
          <w:color w:val="1F4E79"/>
          <w:sz w:val="44"/>
        </w:rPr>
        <w:t>广州黄埔区九佛TOD“全球自贸365街区”项目</w:t>
      </w:r>
    </w:p>
    <w:p>
      <w:pPr>
        <w:spacing w:after="400"/>
        <w:jc w:val="center"/>
      </w:pPr>
      <w:r>
        <w:rPr>
          <w:rFonts w:ascii="微软雅黑" w:hAnsi="微软雅黑" w:eastAsia="微软雅黑"/>
          <w:b/>
          <w:color w:val="1F4E79"/>
          <w:sz w:val="56"/>
        </w:rPr>
        <w:t>策划服务建议书</w:t>
      </w:r>
    </w:p>
    <w:p>
      <w:pPr>
        <w:spacing w:after="1200"/>
        <w:jc w:val="center"/>
      </w:pPr>
      <w:r>
        <w:rPr>
          <w:rFonts w:ascii="微软雅黑" w:hAnsi="微软雅黑" w:eastAsia="微软雅黑"/>
          <w:b w:val="0"/>
          <w:sz w:val="28"/>
        </w:rPr>
        <w:t>(含提资清单与服务报价)</w:t>
      </w:r>
    </w:p>
    <w:p/>
    <w:p/>
    <w:p/>
    <w:p/>
    <w:p/>
    <w:p/>
    <w:p>
      <w:pPr>
        <w:spacing w:after="160"/>
        <w:jc w:val="center"/>
      </w:pPr>
      <w:r>
        <w:rPr>
          <w:rFonts w:ascii="微软雅黑" w:hAnsi="微软雅黑" w:eastAsia="微软雅黑"/>
          <w:b/>
          <w:sz w:val="26"/>
        </w:rPr>
        <w:t>提供方:复旦大学住房政策研究中心、上海市杨浦区科技企业联合会</w:t>
      </w:r>
    </w:p>
    <w:p>
      <w:pPr>
        <w:spacing w:after="160"/>
        <w:jc w:val="center"/>
      </w:pPr>
      <w:r>
        <w:rPr>
          <w:rFonts w:ascii="微软雅黑" w:hAnsi="微软雅黑" w:eastAsia="微软雅黑"/>
          <w:b w:val="0"/>
          <w:sz w:val="26"/>
        </w:rPr>
        <w:t>提交对象:广州黄埔区九佛TOD“全球自贸365街区”项目方(委托方)</w:t>
      </w:r>
    </w:p>
    <w:p>
      <w:pPr>
        <w:spacing w:after="120"/>
        <w:jc w:val="center"/>
      </w:pPr>
      <w:r>
        <w:rPr>
          <w:rFonts w:ascii="微软雅黑" w:hAnsi="微软雅黑" w:eastAsia="微软雅黑"/>
          <w:b w:val="0"/>
          <w:sz w:val="26"/>
        </w:rPr>
        <w:t>2026年7月</w:t>
      </w:r>
    </w:p>
    <w:p>
      <w:r>
        <w:br w:type="page"/>
      </w:r>
    </w:p>
    <w:p>
      <w:pPr>
        <w:spacing w:before="280" w:after="160"/>
      </w:pPr>
      <w:r>
        <w:rPr>
          <w:rFonts w:ascii="微软雅黑" w:hAnsi="微软雅黑" w:eastAsia="微软雅黑"/>
          <w:b/>
          <w:color w:val="1F4E79"/>
          <w:sz w:val="32"/>
        </w:rPr>
        <w:t>一、项目概要</w:t>
      </w:r>
    </w:p>
    <w:p>
      <w:pPr>
        <w:spacing w:before="200" w:after="160"/>
      </w:pPr>
      <w:r>
        <w:rPr>
          <w:rFonts w:ascii="微软雅黑" w:hAnsi="微软雅黑" w:eastAsia="微软雅黑"/>
          <w:b/>
          <w:color w:val="1F4E79"/>
          <w:sz w:val="28"/>
        </w:rPr>
        <w:t>1.1 项目背景与概念</w:t>
      </w:r>
    </w:p>
    <w:p>
      <w:pPr>
        <w:spacing w:after="120"/>
      </w:pPr>
      <w:r>
        <w:rPr>
          <w:rFonts w:ascii="微软雅黑" w:hAnsi="微软雅黑" w:eastAsia="微软雅黑"/>
          <w:b/>
          <w:sz w:val="24"/>
        </w:rPr>
        <w:t>“全球自贸365街区”概念与项目定位:</w:t>
      </w:r>
    </w:p>
    <w:p>
      <w:pPr>
        <w:pStyle w:val="ListBullet"/>
        <w:spacing w:after="80"/>
      </w:pPr>
      <w:r>
        <w:rPr>
          <w:rFonts w:ascii="微软雅黑" w:hAnsi="微软雅黑" w:eastAsia="微软雅黑"/>
          <w:sz w:val="24"/>
        </w:rPr>
        <w:t>依托九佛TOD交通枢纽、广州黄埔综合保税区升级自贸区契机与广交会365天延展需求,打造“珠三角全球自贸区先行示范街区+品牌出海商贸3.0基地”,建设知识城全球数字贸易港。</w:t>
      </w:r>
    </w:p>
    <w:p>
      <w:pPr>
        <w:pStyle w:val="ListBullet"/>
        <w:spacing w:after="80"/>
      </w:pPr>
      <w:r>
        <w:rPr>
          <w:rFonts w:ascii="微软雅黑" w:hAnsi="微软雅黑" w:eastAsia="微软雅黑"/>
          <w:sz w:val="24"/>
        </w:rPr>
        <w:t>核心内容围绕国家馆/城市会客厅、海外展品与进口体验、支柱产业与特色赛道展示交易、保税+免税核心区、跨境电商总部与创业孵化等展开,形成365天永不落幕的展销中心。</w:t>
      </w:r>
    </w:p>
    <w:p>
      <w:pPr>
        <w:pStyle w:val="ListBullet"/>
        <w:spacing w:after="80"/>
      </w:pPr>
      <w:r>
        <w:rPr>
          <w:rFonts w:ascii="微软雅黑" w:hAnsi="微软雅黑" w:eastAsia="微软雅黑"/>
          <w:sz w:val="24"/>
        </w:rPr>
        <w:t>关键资源在于海关、综合保税区/自贸区政策、商务局/商务委、领事馆等;须优先打通海关“四自一简”监管、即买即退、免税/关税与进出口合规路径,否则难以形成真正的自贸区/贸易港效果。</w:t>
      </w:r>
    </w:p>
    <w:p>
      <w:pPr>
        <w:pStyle w:val="ListBullet"/>
        <w:spacing w:after="80"/>
      </w:pPr>
      <w:r>
        <w:rPr>
          <w:rFonts w:ascii="微软雅黑" w:hAnsi="微软雅黑" w:eastAsia="微软雅黑"/>
          <w:sz w:val="24"/>
        </w:rPr>
        <w:t>起步策略:采用轻资产运营,以快闪店、小型城市中心展示、线上线下联动等轻量模式切入,分期推进,不宜一开始做得过大。</w:t>
      </w:r>
    </w:p>
    <w:p>
      <w:pPr>
        <w:spacing w:before="200" w:after="160"/>
      </w:pPr>
      <w:r>
        <w:rPr>
          <w:rFonts w:ascii="微软雅黑" w:hAnsi="微软雅黑" w:eastAsia="微软雅黑"/>
          <w:b/>
          <w:color w:val="1F4E79"/>
          <w:sz w:val="28"/>
        </w:rPr>
        <w:t>1.2 产业方向</w:t>
      </w:r>
    </w:p>
    <w:p>
      <w:pPr>
        <w:spacing w:after="120"/>
      </w:pPr>
      <w:r>
        <w:rPr>
          <w:rFonts w:ascii="微软雅黑" w:hAnsi="微软雅黑" w:eastAsia="微软雅黑"/>
          <w:b w:val="0"/>
          <w:sz w:val="24"/>
        </w:rPr>
        <w:t>在潮玩、文创和IP基础上,叠加黄埔/广州出口优势品类与高科技产业方向:</w:t>
      </w:r>
    </w:p>
    <w:p>
      <w:pPr>
        <w:pStyle w:val="ListBullet"/>
        <w:spacing w:after="80"/>
      </w:pPr>
      <w:r>
        <w:rPr>
          <w:rFonts w:ascii="微软雅黑" w:hAnsi="微软雅黑" w:eastAsia="微软雅黑"/>
          <w:sz w:val="24"/>
        </w:rPr>
        <w:t>出海新三样:新能源汽车、锂电池、太阳能光伏</w:t>
      </w:r>
    </w:p>
    <w:p>
      <w:pPr>
        <w:pStyle w:val="ListBullet"/>
        <w:spacing w:after="80"/>
      </w:pPr>
      <w:r>
        <w:rPr>
          <w:rFonts w:ascii="微软雅黑" w:hAnsi="微软雅黑" w:eastAsia="微软雅黑"/>
          <w:sz w:val="24"/>
        </w:rPr>
        <w:t>黄埔支柱产业:汽车零部件、生物医药、集成电路、机电产品</w:t>
      </w:r>
    </w:p>
    <w:p>
      <w:pPr>
        <w:pStyle w:val="ListBullet"/>
        <w:spacing w:after="80"/>
      </w:pPr>
      <w:r>
        <w:rPr>
          <w:rFonts w:ascii="微软雅黑" w:hAnsi="微软雅黑" w:eastAsia="微软雅黑"/>
          <w:sz w:val="24"/>
        </w:rPr>
        <w:t>特色高增长赛道:黄金珠宝、文创潮玩IP、美妆洗护</w:t>
      </w:r>
    </w:p>
    <w:p>
      <w:pPr>
        <w:pStyle w:val="ListBullet"/>
        <w:spacing w:after="80"/>
      </w:pPr>
      <w:r>
        <w:rPr>
          <w:rFonts w:ascii="微软雅黑" w:hAnsi="微软雅黑" w:eastAsia="微软雅黑"/>
          <w:sz w:val="24"/>
        </w:rPr>
        <w:t>高科技与具身智能:具身智能、人工智能产品、创新生物医药</w:t>
      </w:r>
    </w:p>
    <w:p>
      <w:pPr>
        <w:pStyle w:val="ListBullet"/>
        <w:spacing w:after="80"/>
      </w:pPr>
      <w:r>
        <w:rPr>
          <w:rFonts w:ascii="微软雅黑" w:hAnsi="微软雅黑" w:eastAsia="微软雅黑"/>
          <w:sz w:val="24"/>
        </w:rPr>
        <w:t>数字内容与AI应用:内容出海、数字内容、微短剧、AIGC出海应用</w:t>
      </w:r>
    </w:p>
    <w:p>
      <w:pPr>
        <w:pStyle w:val="ListBullet"/>
        <w:spacing w:after="80"/>
      </w:pPr>
      <w:r>
        <w:rPr>
          <w:rFonts w:ascii="微软雅黑" w:hAnsi="微软雅黑" w:eastAsia="微软雅黑"/>
          <w:sz w:val="24"/>
        </w:rPr>
        <w:t>跨境贸易:跨境电商、国际电商平台(亚马逊/阿里国际/SHEIN等)</w:t>
      </w:r>
    </w:p>
    <w:p>
      <w:pPr>
        <w:spacing w:before="200" w:after="160"/>
      </w:pPr>
      <w:r>
        <w:rPr>
          <w:rFonts w:ascii="微软雅黑" w:hAnsi="微软雅黑" w:eastAsia="微软雅黑"/>
          <w:b/>
          <w:color w:val="1F4E79"/>
          <w:sz w:val="28"/>
        </w:rPr>
        <w:t>1.3 下阶段重点</w:t>
      </w:r>
    </w:p>
    <w:p>
      <w:pPr>
        <w:spacing w:after="120"/>
        <w:ind w:firstLine="480"/>
      </w:pPr>
      <w:r>
        <w:rPr>
          <w:rFonts w:ascii="微软雅黑" w:hAnsi="微软雅黑" w:eastAsia="微软雅黑"/>
          <w:b w:val="0"/>
          <w:sz w:val="24"/>
        </w:rPr>
        <w:t>以策划服务为主,围绕调研、政策研究、项目定位、资源整合、功能布局、出海路径、产业资源组织和后续运营思路,形成正式策划服务方案,支撑项目分期落地与招商运营。</w:t>
      </w:r>
    </w:p>
    <w:p>
      <w:pPr>
        <w:spacing w:before="280" w:after="160"/>
      </w:pPr>
      <w:r>
        <w:rPr>
          <w:rFonts w:ascii="微软雅黑" w:hAnsi="微软雅黑" w:eastAsia="微软雅黑"/>
          <w:b/>
          <w:color w:val="1F4E79"/>
          <w:sz w:val="32"/>
        </w:rPr>
        <w:t>二、服务范围(策划服务八大模块)</w:t>
      </w:r>
    </w:p>
    <w:p>
      <w:pPr>
        <w:spacing w:after="40"/>
      </w:pPr>
      <w:r>
        <w:rPr>
          <w:rFonts w:ascii="微软雅黑" w:hAnsi="微软雅黑" w:eastAsia="微软雅黑"/>
          <w:b/>
          <w:sz w:val="24"/>
        </w:rPr>
        <w:t>1. 现状调研与对标研究</w:t>
      </w:r>
    </w:p>
    <w:p>
      <w:pPr>
        <w:spacing w:after="120"/>
        <w:ind w:firstLine="480"/>
      </w:pPr>
      <w:r>
        <w:rPr>
          <w:rFonts w:ascii="微软雅黑" w:hAnsi="微软雅黑" w:eastAsia="微软雅黑"/>
          <w:b w:val="0"/>
          <w:sz w:val="23"/>
        </w:rPr>
        <w:t>九佛TOD地块与片区现状调研;广交会365天延展、国内外自贸区/综保区与全球商品贸易港(如上海外高桥、南沙等)对标研究。</w:t>
      </w:r>
    </w:p>
    <w:p>
      <w:pPr>
        <w:spacing w:after="40"/>
      </w:pPr>
      <w:r>
        <w:rPr>
          <w:rFonts w:ascii="微软雅黑" w:hAnsi="微软雅黑" w:eastAsia="微软雅黑"/>
          <w:b/>
          <w:sz w:val="24"/>
        </w:rPr>
        <w:t>2. 政策研究与合规路径</w:t>
      </w:r>
    </w:p>
    <w:p>
      <w:pPr>
        <w:spacing w:after="120"/>
        <w:ind w:firstLine="480"/>
      </w:pPr>
      <w:r>
        <w:rPr>
          <w:rFonts w:ascii="微软雅黑" w:hAnsi="微软雅黑" w:eastAsia="微软雅黑"/>
          <w:b w:val="0"/>
          <w:sz w:val="23"/>
        </w:rPr>
        <w:t>研究综保区/自贸区、海关“四自一简”监管、保税展示交易、免税/关税与进出口合规要求,梳理海关、商务局/商务委、领事馆等关键资源的对接路径与赴港上市绿通政策。</w:t>
      </w:r>
    </w:p>
    <w:p>
      <w:pPr>
        <w:spacing w:after="40"/>
      </w:pPr>
      <w:r>
        <w:rPr>
          <w:rFonts w:ascii="微软雅黑" w:hAnsi="微软雅黑" w:eastAsia="微软雅黑"/>
          <w:b/>
          <w:sz w:val="24"/>
        </w:rPr>
        <w:t>3. 项目定位与主题策划</w:t>
      </w:r>
    </w:p>
    <w:p>
      <w:pPr>
        <w:spacing w:after="120"/>
        <w:ind w:firstLine="480"/>
      </w:pPr>
      <w:r>
        <w:rPr>
          <w:rFonts w:ascii="微软雅黑" w:hAnsi="微软雅黑" w:eastAsia="微软雅黑"/>
          <w:b w:val="0"/>
          <w:sz w:val="23"/>
        </w:rPr>
        <w:t>明确“全球自贸365街区/知识城全球数字贸易港”的总体定位、主题概念、目标客群与分期开发策略,论证轻资产、快闪与小型城市中心展示等启动模式。</w:t>
      </w:r>
    </w:p>
    <w:p>
      <w:pPr>
        <w:spacing w:after="40"/>
      </w:pPr>
      <w:r>
        <w:rPr>
          <w:rFonts w:ascii="微软雅黑" w:hAnsi="微软雅黑" w:eastAsia="微软雅黑"/>
          <w:b/>
          <w:sz w:val="24"/>
        </w:rPr>
        <w:t>4. 功能布局与业态组合</w:t>
      </w:r>
    </w:p>
    <w:p>
      <w:pPr>
        <w:spacing w:after="120"/>
        <w:ind w:firstLine="480"/>
      </w:pPr>
      <w:r>
        <w:rPr>
          <w:rFonts w:ascii="微软雅黑" w:hAnsi="微软雅黑" w:eastAsia="微软雅黑"/>
          <w:b w:val="0"/>
          <w:sz w:val="23"/>
        </w:rPr>
        <w:t>国家馆、城市会客厅、保税+免税核心区、支柱产业与特色赛道展示交易、跨境电商总部、创业孵化等功能的楼层空间布局与业态配比建议(约46万㎡/其中2.5万㎡核心街区)。</w:t>
      </w:r>
    </w:p>
    <w:p>
      <w:pPr>
        <w:spacing w:after="40"/>
      </w:pPr>
      <w:r>
        <w:rPr>
          <w:rFonts w:ascii="微软雅黑" w:hAnsi="微软雅黑" w:eastAsia="微软雅黑"/>
          <w:b/>
          <w:sz w:val="24"/>
        </w:rPr>
        <w:t>5. 产业方向与招商建议</w:t>
      </w:r>
    </w:p>
    <w:p>
      <w:pPr>
        <w:spacing w:after="120"/>
        <w:ind w:firstLine="480"/>
      </w:pPr>
      <w:r>
        <w:rPr>
          <w:rFonts w:ascii="微软雅黑" w:hAnsi="微软雅黑" w:eastAsia="微软雅黑"/>
          <w:b w:val="0"/>
          <w:sz w:val="23"/>
        </w:rPr>
        <w:t>围绕出海新三样、黄埔支柱产业、黄金珠宝、文创潮玩、美妆、数字内容、跨境电商平台等提出产业组织、目标客商清单与招商政策建议。</w:t>
      </w:r>
    </w:p>
    <w:p>
      <w:pPr>
        <w:spacing w:after="40"/>
      </w:pPr>
      <w:r>
        <w:rPr>
          <w:rFonts w:ascii="微软雅黑" w:hAnsi="微软雅黑" w:eastAsia="微软雅黑"/>
          <w:b/>
          <w:sz w:val="24"/>
        </w:rPr>
        <w:t>6. 出海路径与线上线下联动</w:t>
      </w:r>
    </w:p>
    <w:p>
      <w:pPr>
        <w:spacing w:after="120"/>
        <w:ind w:firstLine="480"/>
      </w:pPr>
      <w:r>
        <w:rPr>
          <w:rFonts w:ascii="微软雅黑" w:hAnsi="微软雅黑" w:eastAsia="微软雅黑"/>
          <w:b w:val="0"/>
          <w:sz w:val="23"/>
        </w:rPr>
        <w:t>设计“前店后厂”商贸3.0与出海服务路径,策划线上平台与线下街区联动、AIGC出海与国际电商平台合作模式。</w:t>
      </w:r>
    </w:p>
    <w:p>
      <w:pPr>
        <w:spacing w:after="40"/>
      </w:pPr>
      <w:r>
        <w:rPr>
          <w:rFonts w:ascii="微软雅黑" w:hAnsi="微软雅黑" w:eastAsia="微软雅黑"/>
          <w:b/>
          <w:sz w:val="24"/>
        </w:rPr>
        <w:t>7. 资源整合与合作机制</w:t>
      </w:r>
    </w:p>
    <w:p>
      <w:pPr>
        <w:spacing w:after="120"/>
        <w:ind w:firstLine="480"/>
      </w:pPr>
      <w:r>
        <w:rPr>
          <w:rFonts w:ascii="微软雅黑" w:hAnsi="微软雅黑" w:eastAsia="微软雅黑"/>
          <w:b w:val="0"/>
          <w:sz w:val="23"/>
        </w:rPr>
        <w:t>整合领事馆、商协会、高校智库、科技企业、电商平台与港股上市绿通资源,提出政企协同、国企运营与资本运作合作机制建议。</w:t>
      </w:r>
    </w:p>
    <w:p>
      <w:pPr>
        <w:spacing w:after="40"/>
      </w:pPr>
      <w:r>
        <w:rPr>
          <w:rFonts w:ascii="微软雅黑" w:hAnsi="微软雅黑" w:eastAsia="微软雅黑"/>
          <w:b/>
          <w:sz w:val="24"/>
        </w:rPr>
        <w:t>8. 运营思路与实施计划</w:t>
      </w:r>
    </w:p>
    <w:p>
      <w:pPr>
        <w:spacing w:after="120"/>
        <w:ind w:firstLine="480"/>
      </w:pPr>
      <w:r>
        <w:rPr>
          <w:rFonts w:ascii="微软雅黑" w:hAnsi="微软雅黑" w:eastAsia="微软雅黑"/>
          <w:b w:val="0"/>
          <w:sz w:val="23"/>
        </w:rPr>
        <w:t>提出后续运营模式、组织架构、收益测算框架(租金+资本溢出)与分阶段实施及成本回收计划。</w:t>
      </w:r>
    </w:p>
    <w:p>
      <w:pPr>
        <w:spacing w:before="280" w:after="160"/>
      </w:pPr>
      <w:r>
        <w:rPr>
          <w:rFonts w:ascii="微软雅黑" w:hAnsi="微软雅黑" w:eastAsia="微软雅黑"/>
          <w:b/>
          <w:color w:val="1F4E79"/>
          <w:sz w:val="32"/>
        </w:rPr>
        <w:t>三、成果交付</w:t>
      </w:r>
    </w:p>
    <w:p>
      <w:pPr>
        <w:pStyle w:val="ListBullet"/>
        <w:spacing w:after="80"/>
      </w:pPr>
      <w:r>
        <w:rPr>
          <w:rFonts w:ascii="微软雅黑" w:hAnsi="微软雅黑" w:eastAsia="微软雅黑"/>
          <w:sz w:val="24"/>
        </w:rPr>
        <w:t>《广州黄埔区九佛TOD“全球自贸365街区”项目策划服务方案》(正式报告,Word/PDF)</w:t>
      </w:r>
    </w:p>
    <w:p>
      <w:pPr>
        <w:pStyle w:val="ListBullet"/>
        <w:spacing w:after="80"/>
      </w:pPr>
      <w:r>
        <w:rPr>
          <w:rFonts w:ascii="微软雅黑" w:hAnsi="微软雅黑" w:eastAsia="微软雅黑"/>
          <w:sz w:val="24"/>
        </w:rPr>
        <w:t>项目定位与功能布局专题汇报(PPT)</w:t>
      </w:r>
    </w:p>
    <w:p>
      <w:pPr>
        <w:pStyle w:val="ListBullet"/>
        <w:spacing w:after="80"/>
      </w:pPr>
      <w:r>
        <w:rPr>
          <w:rFonts w:ascii="微软雅黑" w:hAnsi="微软雅黑" w:eastAsia="微软雅黑"/>
          <w:sz w:val="24"/>
        </w:rPr>
        <w:t>政策研究与合规路径专题报告(综保区/自贸区/海关监管)</w:t>
      </w:r>
    </w:p>
    <w:p>
      <w:pPr>
        <w:pStyle w:val="ListBullet"/>
        <w:spacing w:after="80"/>
      </w:pPr>
      <w:r>
        <w:rPr>
          <w:rFonts w:ascii="微软雅黑" w:hAnsi="微软雅黑" w:eastAsia="微软雅黑"/>
          <w:sz w:val="24"/>
        </w:rPr>
        <w:t>产业资源清单与招商建议书(目标客商+招商政策)</w:t>
      </w:r>
    </w:p>
    <w:p>
      <w:pPr>
        <w:pStyle w:val="ListBullet"/>
        <w:spacing w:after="80"/>
      </w:pPr>
      <w:r>
        <w:rPr>
          <w:rFonts w:ascii="微软雅黑" w:hAnsi="微软雅黑" w:eastAsia="微软雅黑"/>
          <w:sz w:val="24"/>
        </w:rPr>
        <w:t>运营思路、收益测算框架与分阶段实施计划</w:t>
      </w:r>
    </w:p>
    <w:p>
      <w:r>
        <w:br w:type="page"/>
      </w:r>
    </w:p>
    <w:p>
      <w:pPr>
        <w:spacing w:before="280" w:after="160"/>
      </w:pPr>
      <w:r>
        <w:rPr>
          <w:rFonts w:ascii="微软雅黑" w:hAnsi="微软雅黑" w:eastAsia="微软雅黑"/>
          <w:b/>
          <w:color w:val="1F4E79"/>
          <w:sz w:val="32"/>
        </w:rPr>
        <w:t>四、提资清单(请委托方提供的资料)</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shd w:val="clear" w:fill="1F4E79"/>
          </w:tcPr>
          <w:p>
            <w:r>
              <w:rPr>
                <w:rFonts w:ascii="微软雅黑" w:hAnsi="微软雅黑" w:eastAsia="微软雅黑"/>
                <w:b/>
                <w:color w:val="FFFFFF"/>
                <w:sz w:val="21"/>
              </w:rPr>
              <w:t>序号</w:t>
            </w:r>
          </w:p>
        </w:tc>
        <w:tc>
          <w:tcPr>
            <w:tcW w:type="dxa" w:w="1813"/>
            <w:shd w:val="clear" w:fill="1F4E79"/>
          </w:tcPr>
          <w:p>
            <w:r>
              <w:rPr>
                <w:rFonts w:ascii="微软雅黑" w:hAnsi="微软雅黑" w:eastAsia="微软雅黑"/>
                <w:b/>
                <w:color w:val="FFFFFF"/>
                <w:sz w:val="21"/>
              </w:rPr>
              <w:t>类别</w:t>
            </w:r>
          </w:p>
        </w:tc>
        <w:tc>
          <w:tcPr>
            <w:tcW w:type="dxa" w:w="1813"/>
            <w:shd w:val="clear" w:fill="1F4E79"/>
          </w:tcPr>
          <w:p>
            <w:r>
              <w:rPr>
                <w:rFonts w:ascii="微软雅黑" w:hAnsi="微软雅黑" w:eastAsia="微软雅黑"/>
                <w:b/>
                <w:color w:val="FFFFFF"/>
                <w:sz w:val="21"/>
              </w:rPr>
              <w:t>资料名称</w:t>
            </w:r>
          </w:p>
        </w:tc>
        <w:tc>
          <w:tcPr>
            <w:tcW w:type="dxa" w:w="1813"/>
            <w:shd w:val="clear" w:fill="1F4E79"/>
          </w:tcPr>
          <w:p>
            <w:r>
              <w:rPr>
                <w:rFonts w:ascii="微软雅黑" w:hAnsi="微软雅黑" w:eastAsia="微软雅黑"/>
                <w:b/>
                <w:color w:val="FFFFFF"/>
                <w:sz w:val="21"/>
              </w:rPr>
              <w:t>说明</w:t>
            </w:r>
          </w:p>
        </w:tc>
        <w:tc>
          <w:tcPr>
            <w:tcW w:type="dxa" w:w="1813"/>
            <w:shd w:val="clear" w:fill="1F4E79"/>
          </w:tcPr>
          <w:p>
            <w:r>
              <w:rPr>
                <w:rFonts w:ascii="微软雅黑" w:hAnsi="微软雅黑" w:eastAsia="微软雅黑"/>
                <w:b/>
                <w:color w:val="FFFFFF"/>
                <w:sz w:val="21"/>
              </w:rPr>
              <w:t>优先级</w:t>
            </w:r>
          </w:p>
        </w:tc>
      </w:tr>
      <w:tr>
        <w:tc>
          <w:tcPr>
            <w:tcW w:type="dxa" w:w="1813"/>
          </w:tcPr>
          <w:p>
            <w:r>
              <w:rPr>
                <w:rFonts w:ascii="微软雅黑" w:hAnsi="微软雅黑" w:eastAsia="微软雅黑"/>
                <w:b w:val="0"/>
                <w:sz w:val="21"/>
              </w:rPr>
              <w:t>1</w:t>
            </w:r>
          </w:p>
        </w:tc>
        <w:tc>
          <w:tcPr>
            <w:tcW w:type="dxa" w:w="1813"/>
          </w:tcPr>
          <w:p>
            <w:r>
              <w:rPr>
                <w:rFonts w:ascii="微软雅黑" w:hAnsi="微软雅黑" w:eastAsia="微软雅黑"/>
                <w:b w:val="0"/>
                <w:sz w:val="21"/>
              </w:rPr>
              <w:t>项目基础资料</w:t>
            </w:r>
          </w:p>
        </w:tc>
        <w:tc>
          <w:tcPr>
            <w:tcW w:type="dxa" w:w="1813"/>
          </w:tcPr>
          <w:p>
            <w:r>
              <w:rPr>
                <w:rFonts w:ascii="微软雅黑" w:hAnsi="微软雅黑" w:eastAsia="微软雅黑"/>
                <w:b w:val="0"/>
                <w:sz w:val="21"/>
              </w:rPr>
              <w:t>九佛TOD地块红线图及权属资料</w:t>
            </w:r>
          </w:p>
        </w:tc>
        <w:tc>
          <w:tcPr>
            <w:tcW w:type="dxa" w:w="1813"/>
          </w:tcPr>
          <w:p>
            <w:r>
              <w:rPr>
                <w:rFonts w:ascii="微软雅黑" w:hAnsi="微软雅黑" w:eastAsia="微软雅黑"/>
                <w:b w:val="0"/>
                <w:sz w:val="21"/>
              </w:rPr>
              <w:t>地块范围、土地性质、权属及供地方式</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2</w:t>
            </w:r>
          </w:p>
        </w:tc>
        <w:tc>
          <w:tcPr>
            <w:tcW w:type="dxa" w:w="1813"/>
          </w:tcPr>
          <w:p>
            <w:r>
              <w:rPr>
                <w:rFonts w:ascii="微软雅黑" w:hAnsi="微软雅黑" w:eastAsia="微软雅黑"/>
                <w:b w:val="0"/>
                <w:sz w:val="21"/>
              </w:rPr>
              <w:t>项目基础资料</w:t>
            </w:r>
          </w:p>
        </w:tc>
        <w:tc>
          <w:tcPr>
            <w:tcW w:type="dxa" w:w="1813"/>
          </w:tcPr>
          <w:p>
            <w:r>
              <w:rPr>
                <w:rFonts w:ascii="微软雅黑" w:hAnsi="微软雅黑" w:eastAsia="微软雅黑"/>
                <w:b w:val="0"/>
                <w:sz w:val="21"/>
              </w:rPr>
              <w:t>地块及周边现状资料</w:t>
            </w:r>
          </w:p>
        </w:tc>
        <w:tc>
          <w:tcPr>
            <w:tcW w:type="dxa" w:w="1813"/>
          </w:tcPr>
          <w:p>
            <w:r>
              <w:rPr>
                <w:rFonts w:ascii="微软雅黑" w:hAnsi="微软雅黑" w:eastAsia="微软雅黑"/>
                <w:b w:val="0"/>
                <w:sz w:val="21"/>
              </w:rPr>
              <w:t>现状照片、现状建筑(约46万㎡)、TOD交通与市政条件</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3</w:t>
            </w:r>
          </w:p>
        </w:tc>
        <w:tc>
          <w:tcPr>
            <w:tcW w:type="dxa" w:w="1813"/>
          </w:tcPr>
          <w:p>
            <w:r>
              <w:rPr>
                <w:rFonts w:ascii="微软雅黑" w:hAnsi="微软雅黑" w:eastAsia="微软雅黑"/>
                <w:b w:val="0"/>
                <w:sz w:val="21"/>
              </w:rPr>
              <w:t>规划文件</w:t>
            </w:r>
          </w:p>
        </w:tc>
        <w:tc>
          <w:tcPr>
            <w:tcW w:type="dxa" w:w="1813"/>
          </w:tcPr>
          <w:p>
            <w:r>
              <w:rPr>
                <w:rFonts w:ascii="微软雅黑" w:hAnsi="微软雅黑" w:eastAsia="微软雅黑"/>
                <w:b w:val="0"/>
                <w:sz w:val="21"/>
              </w:rPr>
              <w:t>片区控规及TOD一体化规划</w:t>
            </w:r>
          </w:p>
        </w:tc>
        <w:tc>
          <w:tcPr>
            <w:tcW w:type="dxa" w:w="1813"/>
          </w:tcPr>
          <w:p>
            <w:r>
              <w:rPr>
                <w:rFonts w:ascii="微软雅黑" w:hAnsi="微软雅黑" w:eastAsia="微软雅黑"/>
                <w:b w:val="0"/>
                <w:sz w:val="21"/>
              </w:rPr>
              <w:t>控规指标(容积率、限高、业态要求)及TOD综合开发规划</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4</w:t>
            </w:r>
          </w:p>
        </w:tc>
        <w:tc>
          <w:tcPr>
            <w:tcW w:type="dxa" w:w="1813"/>
          </w:tcPr>
          <w:p>
            <w:r>
              <w:rPr>
                <w:rFonts w:ascii="微软雅黑" w:hAnsi="微软雅黑" w:eastAsia="微软雅黑"/>
                <w:b w:val="0"/>
                <w:sz w:val="21"/>
              </w:rPr>
              <w:t>规划文件</w:t>
            </w:r>
          </w:p>
        </w:tc>
        <w:tc>
          <w:tcPr>
            <w:tcW w:type="dxa" w:w="1813"/>
          </w:tcPr>
          <w:p>
            <w:r>
              <w:rPr>
                <w:rFonts w:ascii="微软雅黑" w:hAnsi="微软雅黑" w:eastAsia="微软雅黑"/>
                <w:b w:val="0"/>
                <w:sz w:val="21"/>
              </w:rPr>
              <w:t>片区产业规划及相关专项规划</w:t>
            </w:r>
          </w:p>
        </w:tc>
        <w:tc>
          <w:tcPr>
            <w:tcW w:type="dxa" w:w="1813"/>
          </w:tcPr>
          <w:p>
            <w:r>
              <w:rPr>
                <w:rFonts w:ascii="微软雅黑" w:hAnsi="微软雅黑" w:eastAsia="微软雅黑"/>
                <w:b w:val="0"/>
                <w:sz w:val="21"/>
              </w:rPr>
              <w:t>黄埔/知识城产业规划、商业网点及综保区规划</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5</w:t>
            </w:r>
          </w:p>
        </w:tc>
        <w:tc>
          <w:tcPr>
            <w:tcW w:type="dxa" w:w="1813"/>
          </w:tcPr>
          <w:p>
            <w:r>
              <w:rPr>
                <w:rFonts w:ascii="微软雅黑" w:hAnsi="微软雅黑" w:eastAsia="微软雅黑"/>
                <w:b w:val="0"/>
                <w:sz w:val="21"/>
              </w:rPr>
              <w:t>政策文件</w:t>
            </w:r>
          </w:p>
        </w:tc>
        <w:tc>
          <w:tcPr>
            <w:tcW w:type="dxa" w:w="1813"/>
          </w:tcPr>
          <w:p>
            <w:r>
              <w:rPr>
                <w:rFonts w:ascii="微软雅黑" w:hAnsi="微软雅黑" w:eastAsia="微软雅黑"/>
                <w:b w:val="0"/>
                <w:sz w:val="21"/>
              </w:rPr>
              <w:t>综合保税区/自贸区相关政策</w:t>
            </w:r>
          </w:p>
        </w:tc>
        <w:tc>
          <w:tcPr>
            <w:tcW w:type="dxa" w:w="1813"/>
          </w:tcPr>
          <w:p>
            <w:r>
              <w:rPr>
                <w:rFonts w:ascii="微软雅黑" w:hAnsi="微软雅黑" w:eastAsia="微软雅黑"/>
                <w:b w:val="0"/>
                <w:sz w:val="21"/>
              </w:rPr>
              <w:t>黄埔综保区、知识城综保区升级自贸区及海关“四自一简”等政策文件</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6</w:t>
            </w:r>
          </w:p>
        </w:tc>
        <w:tc>
          <w:tcPr>
            <w:tcW w:type="dxa" w:w="1813"/>
          </w:tcPr>
          <w:p>
            <w:r>
              <w:rPr>
                <w:rFonts w:ascii="微软雅黑" w:hAnsi="微软雅黑" w:eastAsia="微软雅黑"/>
                <w:b w:val="0"/>
                <w:sz w:val="21"/>
              </w:rPr>
              <w:t>政策文件</w:t>
            </w:r>
          </w:p>
        </w:tc>
        <w:tc>
          <w:tcPr>
            <w:tcW w:type="dxa" w:w="1813"/>
          </w:tcPr>
          <w:p>
            <w:r>
              <w:rPr>
                <w:rFonts w:ascii="微软雅黑" w:hAnsi="微软雅黑" w:eastAsia="微软雅黑"/>
                <w:b w:val="0"/>
                <w:sz w:val="21"/>
              </w:rPr>
              <w:t>免税/保税展示交易及跨境电商政策</w:t>
            </w:r>
          </w:p>
        </w:tc>
        <w:tc>
          <w:tcPr>
            <w:tcW w:type="dxa" w:w="1813"/>
          </w:tcPr>
          <w:p>
            <w:r>
              <w:rPr>
                <w:rFonts w:ascii="微软雅黑" w:hAnsi="微软雅黑" w:eastAsia="微软雅黑"/>
                <w:b w:val="0"/>
                <w:sz w:val="21"/>
              </w:rPr>
              <w:t>即买即退、离境退税、跨境电商综试区及赴港上市绿通政策与试点</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7</w:t>
            </w:r>
          </w:p>
        </w:tc>
        <w:tc>
          <w:tcPr>
            <w:tcW w:type="dxa" w:w="1813"/>
          </w:tcPr>
          <w:p>
            <w:r>
              <w:rPr>
                <w:rFonts w:ascii="微软雅黑" w:hAnsi="微软雅黑" w:eastAsia="微软雅黑"/>
                <w:b w:val="0"/>
                <w:sz w:val="21"/>
              </w:rPr>
              <w:t>前期成果</w:t>
            </w:r>
          </w:p>
        </w:tc>
        <w:tc>
          <w:tcPr>
            <w:tcW w:type="dxa" w:w="1813"/>
          </w:tcPr>
          <w:p>
            <w:r>
              <w:rPr>
                <w:rFonts w:ascii="微软雅黑" w:hAnsi="微软雅黑" w:eastAsia="微软雅黑"/>
                <w:b w:val="0"/>
                <w:sz w:val="21"/>
              </w:rPr>
              <w:t>项目前期策划、可研或概念方案</w:t>
            </w:r>
          </w:p>
        </w:tc>
        <w:tc>
          <w:tcPr>
            <w:tcW w:type="dxa" w:w="1813"/>
          </w:tcPr>
          <w:p>
            <w:r>
              <w:rPr>
                <w:rFonts w:ascii="微软雅黑" w:hAnsi="微软雅黑" w:eastAsia="微软雅黑"/>
                <w:b w:val="0"/>
                <w:sz w:val="21"/>
              </w:rPr>
              <w:t>已完成的策划(如CGC策划方案)、可研、设计或招商材料</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8</w:t>
            </w:r>
          </w:p>
        </w:tc>
        <w:tc>
          <w:tcPr>
            <w:tcW w:type="dxa" w:w="1813"/>
          </w:tcPr>
          <w:p>
            <w:r>
              <w:rPr>
                <w:rFonts w:ascii="微软雅黑" w:hAnsi="微软雅黑" w:eastAsia="微软雅黑"/>
                <w:b w:val="0"/>
                <w:sz w:val="21"/>
              </w:rPr>
              <w:t>资源信息</w:t>
            </w:r>
          </w:p>
        </w:tc>
        <w:tc>
          <w:tcPr>
            <w:tcW w:type="dxa" w:w="1813"/>
          </w:tcPr>
          <w:p>
            <w:r>
              <w:rPr>
                <w:rFonts w:ascii="微软雅黑" w:hAnsi="微软雅黑" w:eastAsia="微软雅黑"/>
                <w:b w:val="0"/>
                <w:sz w:val="21"/>
              </w:rPr>
              <w:t>已对接的领事馆、商协会及企业资源清单</w:t>
            </w:r>
          </w:p>
        </w:tc>
        <w:tc>
          <w:tcPr>
            <w:tcW w:type="dxa" w:w="1813"/>
          </w:tcPr>
          <w:p>
            <w:r>
              <w:rPr>
                <w:rFonts w:ascii="微软雅黑" w:hAnsi="微软雅黑" w:eastAsia="微软雅黑"/>
                <w:b w:val="0"/>
                <w:sz w:val="21"/>
              </w:rPr>
              <w:t>含电商平台、支柱产业与特色赛道企业对接进展及联系人</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9</w:t>
            </w:r>
          </w:p>
        </w:tc>
        <w:tc>
          <w:tcPr>
            <w:tcW w:type="dxa" w:w="1813"/>
          </w:tcPr>
          <w:p>
            <w:r>
              <w:rPr>
                <w:rFonts w:ascii="微软雅黑" w:hAnsi="微软雅黑" w:eastAsia="微软雅黑"/>
                <w:b w:val="0"/>
                <w:sz w:val="21"/>
              </w:rPr>
              <w:t>资源信息</w:t>
            </w:r>
          </w:p>
        </w:tc>
        <w:tc>
          <w:tcPr>
            <w:tcW w:type="dxa" w:w="1813"/>
          </w:tcPr>
          <w:p>
            <w:r>
              <w:rPr>
                <w:rFonts w:ascii="微软雅黑" w:hAnsi="微软雅黑" w:eastAsia="微软雅黑"/>
                <w:b w:val="0"/>
                <w:sz w:val="21"/>
              </w:rPr>
              <w:t>海关、商务局/商务委等部门对接渠道</w:t>
            </w:r>
          </w:p>
        </w:tc>
        <w:tc>
          <w:tcPr>
            <w:tcW w:type="dxa" w:w="1813"/>
          </w:tcPr>
          <w:p>
            <w:r>
              <w:rPr>
                <w:rFonts w:ascii="微软雅黑" w:hAnsi="微软雅黑" w:eastAsia="微软雅黑"/>
                <w:b w:val="0"/>
                <w:sz w:val="21"/>
              </w:rPr>
              <w:t>既有沟通情况及可协调的对接机制、绿色通道</w:t>
            </w:r>
          </w:p>
        </w:tc>
        <w:tc>
          <w:tcPr>
            <w:tcW w:type="dxa" w:w="1813"/>
          </w:tcPr>
          <w:p>
            <w:r>
              <w:rPr>
                <w:rFonts w:ascii="微软雅黑" w:hAnsi="微软雅黑" w:eastAsia="微软雅黑"/>
                <w:b w:val="0"/>
                <w:sz w:val="21"/>
              </w:rPr>
              <w:t>高</w:t>
            </w:r>
          </w:p>
        </w:tc>
      </w:tr>
      <w:tr>
        <w:tc>
          <w:tcPr>
            <w:tcW w:type="dxa" w:w="1813"/>
          </w:tcPr>
          <w:p>
            <w:r>
              <w:rPr>
                <w:rFonts w:ascii="微软雅黑" w:hAnsi="微软雅黑" w:eastAsia="微软雅黑"/>
                <w:b w:val="0"/>
                <w:sz w:val="21"/>
              </w:rPr>
              <w:t>10</w:t>
            </w:r>
          </w:p>
        </w:tc>
        <w:tc>
          <w:tcPr>
            <w:tcW w:type="dxa" w:w="1813"/>
          </w:tcPr>
          <w:p>
            <w:r>
              <w:rPr>
                <w:rFonts w:ascii="微软雅黑" w:hAnsi="微软雅黑" w:eastAsia="微软雅黑"/>
                <w:b w:val="0"/>
                <w:sz w:val="21"/>
              </w:rPr>
              <w:t>产业数据</w:t>
            </w:r>
          </w:p>
        </w:tc>
        <w:tc>
          <w:tcPr>
            <w:tcW w:type="dxa" w:w="1813"/>
          </w:tcPr>
          <w:p>
            <w:r>
              <w:rPr>
                <w:rFonts w:ascii="微软雅黑" w:hAnsi="微软雅黑" w:eastAsia="微软雅黑"/>
                <w:b w:val="0"/>
                <w:sz w:val="21"/>
              </w:rPr>
              <w:t>黄埔/广州进出口与产业数据</w:t>
            </w:r>
          </w:p>
        </w:tc>
        <w:tc>
          <w:tcPr>
            <w:tcW w:type="dxa" w:w="1813"/>
          </w:tcPr>
          <w:p>
            <w:r>
              <w:rPr>
                <w:rFonts w:ascii="微软雅黑" w:hAnsi="微软雅黑" w:eastAsia="微软雅黑"/>
                <w:b w:val="0"/>
                <w:sz w:val="21"/>
              </w:rPr>
              <w:t>支柱产业、特色赛道出口数据及广交会延展合作数据</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11</w:t>
            </w:r>
          </w:p>
        </w:tc>
        <w:tc>
          <w:tcPr>
            <w:tcW w:type="dxa" w:w="1813"/>
          </w:tcPr>
          <w:p>
            <w:r>
              <w:rPr>
                <w:rFonts w:ascii="微软雅黑" w:hAnsi="微软雅黑" w:eastAsia="微软雅黑"/>
                <w:b w:val="0"/>
                <w:sz w:val="21"/>
              </w:rPr>
              <w:t>运营数据</w:t>
            </w:r>
          </w:p>
        </w:tc>
        <w:tc>
          <w:tcPr>
            <w:tcW w:type="dxa" w:w="1813"/>
          </w:tcPr>
          <w:p>
            <w:r>
              <w:rPr>
                <w:rFonts w:ascii="微软雅黑" w:hAnsi="微软雅黑" w:eastAsia="微软雅黑"/>
                <w:b w:val="0"/>
                <w:sz w:val="21"/>
              </w:rPr>
              <w:t>周边商业及市场数据</w:t>
            </w:r>
          </w:p>
        </w:tc>
        <w:tc>
          <w:tcPr>
            <w:tcW w:type="dxa" w:w="1813"/>
          </w:tcPr>
          <w:p>
            <w:r>
              <w:rPr>
                <w:rFonts w:ascii="微软雅黑" w:hAnsi="微软雅黑" w:eastAsia="微软雅黑"/>
                <w:b w:val="0"/>
                <w:sz w:val="21"/>
              </w:rPr>
              <w:t>周边商业项目、TOD人流、租金水平、消费客群数据</w:t>
            </w:r>
          </w:p>
        </w:tc>
        <w:tc>
          <w:tcPr>
            <w:tcW w:type="dxa" w:w="1813"/>
          </w:tcPr>
          <w:p>
            <w:r>
              <w:rPr>
                <w:rFonts w:ascii="微软雅黑" w:hAnsi="微软雅黑" w:eastAsia="微软雅黑"/>
                <w:b w:val="0"/>
                <w:sz w:val="21"/>
              </w:rPr>
              <w:t>中</w:t>
            </w:r>
          </w:p>
        </w:tc>
      </w:tr>
      <w:tr>
        <w:tc>
          <w:tcPr>
            <w:tcW w:type="dxa" w:w="1813"/>
          </w:tcPr>
          <w:p>
            <w:r>
              <w:rPr>
                <w:rFonts w:ascii="微软雅黑" w:hAnsi="微软雅黑" w:eastAsia="微软雅黑"/>
                <w:b w:val="0"/>
                <w:sz w:val="21"/>
              </w:rPr>
              <w:t>12</w:t>
            </w:r>
          </w:p>
        </w:tc>
        <w:tc>
          <w:tcPr>
            <w:tcW w:type="dxa" w:w="1813"/>
          </w:tcPr>
          <w:p>
            <w:r>
              <w:rPr>
                <w:rFonts w:ascii="微软雅黑" w:hAnsi="微软雅黑" w:eastAsia="微软雅黑"/>
                <w:b w:val="0"/>
                <w:sz w:val="21"/>
              </w:rPr>
              <w:t>工作机制</w:t>
            </w:r>
          </w:p>
        </w:tc>
        <w:tc>
          <w:tcPr>
            <w:tcW w:type="dxa" w:w="1813"/>
          </w:tcPr>
          <w:p>
            <w:r>
              <w:rPr>
                <w:rFonts w:ascii="微软雅黑" w:hAnsi="微软雅黑" w:eastAsia="微软雅黑"/>
                <w:b w:val="0"/>
                <w:sz w:val="21"/>
              </w:rPr>
              <w:t>项目对接人及决策机制说明</w:t>
            </w:r>
          </w:p>
        </w:tc>
        <w:tc>
          <w:tcPr>
            <w:tcW w:type="dxa" w:w="1813"/>
          </w:tcPr>
          <w:p>
            <w:r>
              <w:rPr>
                <w:rFonts w:ascii="微软雅黑" w:hAnsi="微软雅黑" w:eastAsia="微软雅黑"/>
                <w:b w:val="0"/>
                <w:sz w:val="21"/>
              </w:rPr>
              <w:t>委托方(含知识城集团)项目负责人、对接人及成果评审机制</w:t>
            </w:r>
          </w:p>
        </w:tc>
        <w:tc>
          <w:tcPr>
            <w:tcW w:type="dxa" w:w="1813"/>
          </w:tcPr>
          <w:p>
            <w:r>
              <w:rPr>
                <w:rFonts w:ascii="微软雅黑" w:hAnsi="微软雅黑" w:eastAsia="微软雅黑"/>
                <w:b w:val="0"/>
                <w:sz w:val="21"/>
              </w:rPr>
              <w:t>高</w:t>
            </w:r>
          </w:p>
        </w:tc>
      </w:tr>
    </w:tbl>
    <w:p>
      <w:pPr>
        <w:spacing w:after="120"/>
      </w:pPr>
      <w:r>
        <w:rPr>
          <w:rFonts w:ascii="微软雅黑" w:hAnsi="微软雅黑" w:eastAsia="微软雅黑"/>
          <w:b w:val="0"/>
          <w:sz w:val="12"/>
        </w:rPr>
      </w:r>
    </w:p>
    <w:p>
      <w:pPr>
        <w:spacing w:after="120"/>
      </w:pPr>
      <w:r>
        <w:rPr>
          <w:rFonts w:ascii="微软雅黑" w:hAnsi="微软雅黑" w:eastAsia="微软雅黑"/>
          <w:b/>
          <w:sz w:val="24"/>
        </w:rPr>
        <w:t>提资说明:</w:t>
      </w:r>
    </w:p>
    <w:p>
      <w:pPr>
        <w:pStyle w:val="ListBullet"/>
        <w:spacing w:after="80"/>
      </w:pPr>
      <w:r>
        <w:rPr>
          <w:rFonts w:ascii="微软雅黑" w:hAnsi="微软雅黑" w:eastAsia="微软雅黑"/>
          <w:sz w:val="23"/>
        </w:rPr>
        <w:t>标注“高”优先级的资料请于合同签订后10个工作日内提供,以保障调研与政策研究按期启动。</w:t>
      </w:r>
    </w:p>
    <w:p>
      <w:pPr>
        <w:pStyle w:val="ListBullet"/>
        <w:spacing w:after="80"/>
      </w:pPr>
      <w:r>
        <w:rPr>
          <w:rFonts w:ascii="微软雅黑" w:hAnsi="微软雅黑" w:eastAsia="微软雅黑"/>
          <w:sz w:val="23"/>
        </w:rPr>
        <w:t>涉密或敏感资料可仅提供脱敏版本或安排现场查阅,双方可另行签订保密协议。</w:t>
      </w:r>
    </w:p>
    <w:p>
      <w:pPr>
        <w:pStyle w:val="ListBullet"/>
        <w:spacing w:after="80"/>
      </w:pPr>
      <w:r>
        <w:rPr>
          <w:rFonts w:ascii="微软雅黑" w:hAnsi="微软雅黑" w:eastAsia="微软雅黑"/>
          <w:sz w:val="23"/>
        </w:rPr>
        <w:t>如部分资料暂缺,请在清单中注明,由服务方协助通过公开渠道补充收集。</w:t>
      </w:r>
    </w:p>
    <w:p>
      <w:pPr>
        <w:spacing w:before="280" w:after="160"/>
      </w:pPr>
      <w:r>
        <w:rPr>
          <w:rFonts w:ascii="微软雅黑" w:hAnsi="微软雅黑" w:eastAsia="微软雅黑"/>
          <w:b/>
          <w:color w:val="1F4E79"/>
          <w:sz w:val="32"/>
        </w:rPr>
        <w:t>五、服务报价</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fill="1F4E79"/>
          </w:tcPr>
          <w:p>
            <w:r>
              <w:rPr>
                <w:rFonts w:ascii="微软雅黑" w:hAnsi="微软雅黑" w:eastAsia="微软雅黑"/>
                <w:b/>
                <w:color w:val="FFFFFF"/>
                <w:sz w:val="21"/>
              </w:rPr>
              <w:t>工作阶段</w:t>
            </w:r>
          </w:p>
        </w:tc>
        <w:tc>
          <w:tcPr>
            <w:tcW w:type="dxa" w:w="2266"/>
            <w:shd w:val="clear" w:fill="1F4E79"/>
          </w:tcPr>
          <w:p>
            <w:r>
              <w:rPr>
                <w:rFonts w:ascii="微软雅黑" w:hAnsi="微软雅黑" w:eastAsia="微软雅黑"/>
                <w:b/>
                <w:color w:val="FFFFFF"/>
                <w:sz w:val="21"/>
              </w:rPr>
              <w:t>主要工作内容</w:t>
            </w:r>
          </w:p>
        </w:tc>
        <w:tc>
          <w:tcPr>
            <w:tcW w:type="dxa" w:w="2266"/>
            <w:shd w:val="clear" w:fill="1F4E79"/>
          </w:tcPr>
          <w:p>
            <w:r>
              <w:rPr>
                <w:rFonts w:ascii="微软雅黑" w:hAnsi="微软雅黑" w:eastAsia="微软雅黑"/>
                <w:b/>
                <w:color w:val="FFFFFF"/>
                <w:sz w:val="21"/>
              </w:rPr>
              <w:t>主要成果</w:t>
            </w:r>
          </w:p>
        </w:tc>
        <w:tc>
          <w:tcPr>
            <w:tcW w:type="dxa" w:w="2266"/>
            <w:shd w:val="clear" w:fill="1F4E79"/>
          </w:tcPr>
          <w:p>
            <w:r>
              <w:rPr>
                <w:rFonts w:ascii="微软雅黑" w:hAnsi="微软雅黑" w:eastAsia="微软雅黑"/>
                <w:b/>
                <w:color w:val="FFFFFF"/>
                <w:sz w:val="21"/>
              </w:rPr>
              <w:t>报价(万元)</w:t>
            </w:r>
          </w:p>
        </w:tc>
      </w:tr>
      <w:tr>
        <w:tc>
          <w:tcPr>
            <w:tcW w:type="dxa" w:w="2266"/>
          </w:tcPr>
          <w:p>
            <w:r>
              <w:rPr>
                <w:rFonts w:ascii="微软雅黑" w:hAnsi="微软雅黑" w:eastAsia="微软雅黑"/>
                <w:b w:val="0"/>
                <w:sz w:val="21"/>
              </w:rPr>
              <w:t>阶段一:调研与政策研究</w:t>
            </w:r>
          </w:p>
        </w:tc>
        <w:tc>
          <w:tcPr>
            <w:tcW w:type="dxa" w:w="2266"/>
          </w:tcPr>
          <w:p>
            <w:r>
              <w:rPr>
                <w:rFonts w:ascii="微软雅黑" w:hAnsi="微软雅黑" w:eastAsia="微软雅黑"/>
                <w:b w:val="0"/>
                <w:sz w:val="21"/>
              </w:rPr>
              <w:t>现状调研、案例对标、综保区/自贸区/海关监管与免税政策研究、合规路径梳理</w:t>
            </w:r>
          </w:p>
        </w:tc>
        <w:tc>
          <w:tcPr>
            <w:tcW w:type="dxa" w:w="2266"/>
          </w:tcPr>
          <w:p>
            <w:r>
              <w:rPr>
                <w:rFonts w:ascii="微软雅黑" w:hAnsi="微软雅黑" w:eastAsia="微软雅黑"/>
                <w:b w:val="0"/>
                <w:sz w:val="21"/>
              </w:rPr>
              <w:t>调研报告、政策研究与合规路径专题报告</w:t>
            </w:r>
          </w:p>
        </w:tc>
        <w:tc>
          <w:tcPr>
            <w:tcW w:type="dxa" w:w="2266"/>
          </w:tcPr>
          <w:p>
            <w:r>
              <w:rPr>
                <w:rFonts w:ascii="微软雅黑" w:hAnsi="微软雅黑" w:eastAsia="微软雅黑"/>
                <w:b w:val="0"/>
                <w:sz w:val="21"/>
              </w:rPr>
              <w:t>38</w:t>
            </w:r>
          </w:p>
        </w:tc>
      </w:tr>
      <w:tr>
        <w:tc>
          <w:tcPr>
            <w:tcW w:type="dxa" w:w="2266"/>
          </w:tcPr>
          <w:p>
            <w:r>
              <w:rPr>
                <w:rFonts w:ascii="微软雅黑" w:hAnsi="微软雅黑" w:eastAsia="微软雅黑"/>
                <w:b w:val="0"/>
                <w:sz w:val="21"/>
              </w:rPr>
              <w:t>阶段二:定位与功能布局策划</w:t>
            </w:r>
          </w:p>
        </w:tc>
        <w:tc>
          <w:tcPr>
            <w:tcW w:type="dxa" w:w="2266"/>
          </w:tcPr>
          <w:p>
            <w:r>
              <w:rPr>
                <w:rFonts w:ascii="微软雅黑" w:hAnsi="微软雅黑" w:eastAsia="微软雅黑"/>
                <w:b w:val="0"/>
                <w:sz w:val="21"/>
              </w:rPr>
              <w:t>项目定位、主题策划、约46万㎡功能布局与业态组合、轻资产启动模式论证</w:t>
            </w:r>
          </w:p>
        </w:tc>
        <w:tc>
          <w:tcPr>
            <w:tcW w:type="dxa" w:w="2266"/>
          </w:tcPr>
          <w:p>
            <w:r>
              <w:rPr>
                <w:rFonts w:ascii="微软雅黑" w:hAnsi="微软雅黑" w:eastAsia="微软雅黑"/>
                <w:b w:val="0"/>
                <w:sz w:val="21"/>
              </w:rPr>
              <w:t>定位与功能布局专题汇报(PPT)</w:t>
            </w:r>
          </w:p>
        </w:tc>
        <w:tc>
          <w:tcPr>
            <w:tcW w:type="dxa" w:w="2266"/>
          </w:tcPr>
          <w:p>
            <w:r>
              <w:rPr>
                <w:rFonts w:ascii="微软雅黑" w:hAnsi="微软雅黑" w:eastAsia="微软雅黑"/>
                <w:b w:val="0"/>
                <w:sz w:val="21"/>
              </w:rPr>
              <w:t>48</w:t>
            </w:r>
          </w:p>
        </w:tc>
      </w:tr>
      <w:tr>
        <w:tc>
          <w:tcPr>
            <w:tcW w:type="dxa" w:w="2266"/>
          </w:tcPr>
          <w:p>
            <w:r>
              <w:rPr>
                <w:rFonts w:ascii="微软雅黑" w:hAnsi="微软雅黑" w:eastAsia="微软雅黑"/>
                <w:b w:val="0"/>
                <w:sz w:val="21"/>
              </w:rPr>
              <w:t>阶段三:产业资源整合与出海路径</w:t>
            </w:r>
          </w:p>
        </w:tc>
        <w:tc>
          <w:tcPr>
            <w:tcW w:type="dxa" w:w="2266"/>
          </w:tcPr>
          <w:p>
            <w:r>
              <w:rPr>
                <w:rFonts w:ascii="微软雅黑" w:hAnsi="微软雅黑" w:eastAsia="微软雅黑"/>
                <w:b w:val="0"/>
                <w:sz w:val="21"/>
              </w:rPr>
              <w:t>产业方向细化、目标客商与招商政策、资源整合、出海路径与线上线下联动设计</w:t>
            </w:r>
          </w:p>
        </w:tc>
        <w:tc>
          <w:tcPr>
            <w:tcW w:type="dxa" w:w="2266"/>
          </w:tcPr>
          <w:p>
            <w:r>
              <w:rPr>
                <w:rFonts w:ascii="微软雅黑" w:hAnsi="微软雅黑" w:eastAsia="微软雅黑"/>
                <w:b w:val="0"/>
                <w:sz w:val="21"/>
              </w:rPr>
              <w:t>产业资源清单与招商建议书</w:t>
            </w:r>
          </w:p>
        </w:tc>
        <w:tc>
          <w:tcPr>
            <w:tcW w:type="dxa" w:w="2266"/>
          </w:tcPr>
          <w:p>
            <w:r>
              <w:rPr>
                <w:rFonts w:ascii="微软雅黑" w:hAnsi="微软雅黑" w:eastAsia="微软雅黑"/>
                <w:b w:val="0"/>
                <w:sz w:val="21"/>
              </w:rPr>
              <w:t>42</w:t>
            </w:r>
          </w:p>
        </w:tc>
      </w:tr>
      <w:tr>
        <w:tc>
          <w:tcPr>
            <w:tcW w:type="dxa" w:w="2266"/>
          </w:tcPr>
          <w:p>
            <w:r>
              <w:rPr>
                <w:rFonts w:ascii="微软雅黑" w:hAnsi="微软雅黑" w:eastAsia="微软雅黑"/>
                <w:b w:val="0"/>
                <w:sz w:val="21"/>
              </w:rPr>
              <w:t>阶段四:运营思路与实施计划</w:t>
            </w:r>
          </w:p>
        </w:tc>
        <w:tc>
          <w:tcPr>
            <w:tcW w:type="dxa" w:w="2266"/>
          </w:tcPr>
          <w:p>
            <w:r>
              <w:rPr>
                <w:rFonts w:ascii="微软雅黑" w:hAnsi="微软雅黑" w:eastAsia="微软雅黑"/>
                <w:b w:val="0"/>
                <w:sz w:val="21"/>
              </w:rPr>
              <w:t>运营模式、组织架构、收益测算框架(租金+资本溢出)、分阶段实施与成本回收计划、方案整合</w:t>
            </w:r>
          </w:p>
        </w:tc>
        <w:tc>
          <w:tcPr>
            <w:tcW w:type="dxa" w:w="2266"/>
          </w:tcPr>
          <w:p>
            <w:r>
              <w:rPr>
                <w:rFonts w:ascii="微软雅黑" w:hAnsi="微软雅黑" w:eastAsia="微软雅黑"/>
                <w:b w:val="0"/>
                <w:sz w:val="21"/>
              </w:rPr>
              <w:t>正式策划服务方案(整合版)</w:t>
            </w:r>
          </w:p>
        </w:tc>
        <w:tc>
          <w:tcPr>
            <w:tcW w:type="dxa" w:w="2266"/>
          </w:tcPr>
          <w:p>
            <w:r>
              <w:rPr>
                <w:rFonts w:ascii="微软雅黑" w:hAnsi="微软雅黑" w:eastAsia="微软雅黑"/>
                <w:b w:val="0"/>
                <w:sz w:val="21"/>
              </w:rPr>
              <w:t>32</w:t>
            </w:r>
          </w:p>
        </w:tc>
      </w:tr>
      <w:tr>
        <w:tc>
          <w:tcPr>
            <w:tcW w:type="dxa" w:w="2266"/>
          </w:tcPr>
          <w:p>
            <w:r>
              <w:rPr>
                <w:rFonts w:ascii="微软雅黑" w:hAnsi="微软雅黑" w:eastAsia="微软雅黑"/>
                <w:b/>
                <w:sz w:val="21"/>
              </w:rPr>
              <w:t>合计</w:t>
            </w:r>
          </w:p>
        </w:tc>
        <w:tc>
          <w:tcPr>
            <w:tcW w:type="dxa" w:w="2266"/>
          </w:tcPr>
          <w:p/>
        </w:tc>
        <w:tc>
          <w:tcPr>
            <w:tcW w:type="dxa" w:w="2266"/>
          </w:tcPr>
          <w:p/>
        </w:tc>
        <w:tc>
          <w:tcPr>
            <w:tcW w:type="dxa" w:w="2266"/>
          </w:tcPr>
          <w:p>
            <w:r>
              <w:rPr>
                <w:rFonts w:ascii="微软雅黑" w:hAnsi="微软雅黑" w:eastAsia="微软雅黑"/>
                <w:b/>
                <w:sz w:val="21"/>
              </w:rPr>
              <w:t>160</w:t>
            </w:r>
          </w:p>
        </w:tc>
      </w:tr>
    </w:tbl>
    <w:p>
      <w:pPr>
        <w:spacing w:after="120"/>
      </w:pPr>
      <w:r>
        <w:rPr>
          <w:rFonts w:ascii="微软雅黑" w:hAnsi="微软雅黑" w:eastAsia="微软雅黑"/>
          <w:b w:val="0"/>
          <w:sz w:val="12"/>
        </w:rPr>
      </w:r>
    </w:p>
    <w:p>
      <w:pPr>
        <w:spacing w:after="120"/>
      </w:pPr>
      <w:r>
        <w:rPr>
          <w:rFonts w:ascii="微软雅黑" w:hAnsi="微软雅黑" w:eastAsia="微软雅黑"/>
          <w:b/>
          <w:sz w:val="24"/>
        </w:rPr>
        <w:t>报价说明:</w:t>
      </w:r>
    </w:p>
    <w:p>
      <w:pPr>
        <w:pStyle w:val="ListBullet"/>
        <w:spacing w:after="80"/>
      </w:pPr>
      <w:r>
        <w:rPr>
          <w:rFonts w:ascii="微软雅黑" w:hAnsi="微软雅黑" w:eastAsia="微软雅黑"/>
          <w:sz w:val="23"/>
        </w:rPr>
        <w:t>以上报价为含税参考价(人民币),最终价格以双方商务洽谈及合同为准。</w:t>
      </w:r>
    </w:p>
    <w:p>
      <w:pPr>
        <w:pStyle w:val="ListBullet"/>
        <w:spacing w:after="80"/>
      </w:pPr>
      <w:r>
        <w:rPr>
          <w:rFonts w:ascii="微软雅黑" w:hAnsi="微软雅黑" w:eastAsia="微软雅黑"/>
          <w:sz w:val="23"/>
        </w:rPr>
        <w:t>服务周期:合同签订并收到首笔款项及主要提资材料后约5个月(可按委托方需求调整)。</w:t>
      </w:r>
    </w:p>
    <w:p>
      <w:pPr>
        <w:pStyle w:val="ListBullet"/>
        <w:spacing w:after="80"/>
      </w:pPr>
      <w:r>
        <w:rPr>
          <w:rFonts w:ascii="微软雅黑" w:hAnsi="微软雅黑" w:eastAsia="微软雅黑"/>
          <w:sz w:val="23"/>
        </w:rPr>
        <w:t>付款建议:合同签订后支付40%,中期成果(阶段二)通过评审后支付30%,最终成果验收后支付30%。</w:t>
      </w:r>
    </w:p>
    <w:p>
      <w:pPr>
        <w:pStyle w:val="ListBullet"/>
        <w:spacing w:after="80"/>
      </w:pPr>
      <w:r>
        <w:rPr>
          <w:rFonts w:ascii="微软雅黑" w:hAnsi="微软雅黑" w:eastAsia="微软雅黑"/>
          <w:sz w:val="23"/>
        </w:rPr>
        <w:t>差旅费用:上海—广州往返差旅按实报销或包干另议。</w:t>
      </w:r>
    </w:p>
    <w:p>
      <w:pPr>
        <w:spacing w:before="280" w:after="160"/>
      </w:pPr>
      <w:r>
        <w:rPr>
          <w:rFonts w:ascii="微软雅黑" w:hAnsi="微软雅黑" w:eastAsia="微软雅黑"/>
          <w:b/>
          <w:color w:val="1F4E79"/>
          <w:sz w:val="32"/>
        </w:rPr>
        <w:t>六、服务团队与联系方式</w:t>
      </w:r>
    </w:p>
    <w:p>
      <w:pPr>
        <w:spacing w:after="120"/>
        <w:ind w:firstLine="480"/>
      </w:pPr>
      <w:r>
        <w:rPr>
          <w:rFonts w:ascii="微软雅黑" w:hAnsi="微软雅黑" w:eastAsia="微软雅黑"/>
          <w:b w:val="0"/>
          <w:sz w:val="24"/>
        </w:rPr>
        <w:t>本项目由复旦大学住房政策研究中心与上海市杨浦区科技企业联合会联合组建服务团队:研究中心负责政策研究、项目定位与策划方案编制,科技企业联合会负责产业资源组织、企业对接与招商建议。</w:t>
      </w:r>
    </w:p>
    <w:p>
      <w:pPr>
        <w:spacing w:after="120"/>
        <w:ind w:firstLine="480"/>
      </w:pPr>
      <w:r>
        <w:rPr>
          <w:rFonts w:ascii="微软雅黑" w:hAnsi="微软雅黑" w:eastAsia="微软雅黑"/>
          <w:b w:val="0"/>
          <w:sz w:val="24"/>
        </w:rPr>
        <w:t>联系方式:另行提供(以正式合同联络人为准)。</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