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微软雅黑" w:hAnsi="微软雅黑" w:eastAsia="微软雅黑"/>
          <w:b/>
          <w:color w:val="1A3A5C"/>
          <w:sz w:val="30"/>
        </w:rPr>
        <w:t>10 月 31 日王德峰老师活动｜联合运营合作方案</w:t>
      </w:r>
    </w:p>
    <w:p>
      <w:pPr>
        <w:spacing w:before="0" w:after="120" w:line="240" w:lineRule="auto"/>
        <w:jc w:val="center"/>
      </w:pPr>
      <w:r>
        <w:rPr>
          <w:rFonts w:ascii="微软雅黑" w:hAnsi="微软雅黑" w:eastAsia="微软雅黑"/>
          <w:b/>
          <w:color w:val="8B6914"/>
          <w:sz w:val="18"/>
        </w:rPr>
        <w:t>合作方提供老师及内容 / IP  ·  我方负责商业化、组织、渠道与现场交付  ·  按来源分成，不买断</w:t>
      </w:r>
    </w:p>
    <w:tbl>
      <w:tblPr>
        <w:tblW w:type="dxa" w:w="10546"/>
        <w:tblLayout w:type="fixed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6"/>
            <w:shd w:val="clear" w:color="auto" w:fill="F7F3EA"/>
            <w:tcBorders>
              <w:top w:val="single" w:sz="6" w:color="8B6914" w:space="0"/>
              <w:left w:val="single" w:sz="16" w:color="8B6914" w:space="0"/>
              <w:bottom w:val="single" w:sz="6" w:color="8B6914" w:space="0"/>
              <w:right w:val="single" w:sz="6" w:color="8B6914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20" w:line="259" w:lineRule="auto"/>
            </w:pPr>
            <w:r/>
            <w:r>
              <w:rPr>
                <w:rFonts w:ascii="微软雅黑" w:hAnsi="微软雅黑" w:eastAsia="微软雅黑"/>
                <w:b/>
                <w:color w:val="8B6914"/>
                <w:sz w:val="16"/>
              </w:rPr>
              <w:t>一句话定位</w:t>
            </w:r>
          </w:p>
          <w:p>
            <w:pPr>
              <w:spacing w:before="0" w:after="20" w:line="259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18"/>
              </w:rPr>
              <w:t>我方不是票务渠道，而是联合主办 / 联合运营方。10 月 31 日作为独立项目和第一期样板：按收入来源、成本承担和履约责任结算，不做 10–18 万元一次性买断。</w:t>
            </w:r>
          </w:p>
        </w:tc>
      </w:tr>
    </w:tbl>
    <w:p>
      <w:pPr>
        <w:spacing w:before="100" w:after="40" w:line="240" w:lineRule="auto"/>
      </w:pPr>
      <w:r>
        <w:rPr>
          <w:rFonts w:ascii="微软雅黑" w:hAnsi="微软雅黑" w:eastAsia="微软雅黑"/>
          <w:b/>
          <w:color w:val="1A3A5C"/>
          <w:sz w:val="21"/>
        </w:rPr>
        <w:t>1. 双方分工</w:t>
      </w:r>
    </w:p>
    <w:tbl>
      <w:tblPr>
        <w:tblStyle w:val="TableGrid"/>
        <w:tblW w:type="dxa" w:w="10546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1927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4309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合作方</w:t>
            </w:r>
          </w:p>
        </w:tc>
        <w:tc>
          <w:tcPr>
            <w:tcW w:type="dxa" w:w="4309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我方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IP / 内容</w:t>
            </w:r>
          </w:p>
        </w:tc>
        <w:tc>
          <w:tcPr>
            <w:tcW w:type="dxa" w:w="4309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老师出席、主题、授权链</w:t>
            </w:r>
          </w:p>
        </w:tc>
        <w:tc>
          <w:tcPr>
            <w:tcW w:type="dxa" w:w="4309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产品化、场次与商业包装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场地 / 现场</w:t>
            </w:r>
          </w:p>
        </w:tc>
        <w:tc>
          <w:tcPr>
            <w:tcW w:type="dxa" w:w="4309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配合老师端要求</w:t>
            </w:r>
          </w:p>
        </w:tc>
        <w:tc>
          <w:tcPr>
            <w:tcW w:type="dxa" w:w="4309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场地、制作、人员、交付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销售 / 招商</w:t>
            </w:r>
          </w:p>
        </w:tc>
        <w:tc>
          <w:tcPr>
            <w:tcW w:type="dxa" w:w="4309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自有渠道与素材</w:t>
            </w:r>
          </w:p>
        </w:tc>
        <w:tc>
          <w:tcPr>
            <w:tcW w:type="dxa" w:w="4309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票务、企业客户、赞助、社群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财务 / 数据</w:t>
            </w:r>
          </w:p>
        </w:tc>
        <w:tc>
          <w:tcPr>
            <w:tcW w:type="dxa" w:w="4309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核对本方来源订单</w:t>
            </w:r>
          </w:p>
        </w:tc>
        <w:tc>
          <w:tcPr>
            <w:tcW w:type="dxa" w:w="4309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统一台账、对账、结算报告</w:t>
            </w:r>
          </w:p>
        </w:tc>
      </w:tr>
    </w:tbl>
    <w:p>
      <w:pPr>
        <w:spacing w:before="100" w:after="40" w:line="240" w:lineRule="auto"/>
      </w:pPr>
      <w:r>
        <w:rPr>
          <w:rFonts w:ascii="微软雅黑" w:hAnsi="微软雅黑" w:eastAsia="微软雅黑"/>
          <w:b/>
          <w:color w:val="1A3A5C"/>
          <w:sz w:val="21"/>
        </w:rPr>
        <w:t>2. 按来源分成（建议起点）</w:t>
      </w:r>
    </w:p>
    <w:tbl>
      <w:tblPr>
        <w:tblStyle w:val="TableGrid"/>
        <w:tblW w:type="dxa" w:w="10546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4876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收入来源</w:t>
            </w:r>
          </w:p>
        </w:tc>
        <w:tc>
          <w:tcPr>
            <w:tcW w:type="dxa" w:w="2835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我方</w:t>
            </w:r>
          </w:p>
        </w:tc>
        <w:tc>
          <w:tcPr>
            <w:tcW w:type="dxa" w:w="2835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合作方</w:t>
            </w:r>
          </w:p>
        </w:tc>
      </w:tr>
      <w:tr>
        <w:trPr>
          <w:cantSplit/>
        </w:trPr>
        <w:tc>
          <w:tcPr>
            <w:tcW w:type="dxa" w:w="4876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我方独立报名 / 企业客户</w:t>
            </w:r>
          </w:p>
        </w:tc>
        <w:tc>
          <w:tcPr>
            <w:tcW w:type="dxa" w:w="2835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60%</w:t>
            </w:r>
          </w:p>
        </w:tc>
        <w:tc>
          <w:tcPr>
            <w:tcW w:type="dxa" w:w="2835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40%</w:t>
            </w:r>
          </w:p>
        </w:tc>
      </w:tr>
      <w:tr>
        <w:trPr>
          <w:cantSplit/>
        </w:trPr>
        <w:tc>
          <w:tcPr>
            <w:tcW w:type="dxa" w:w="4876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合作方独立报名</w:t>
            </w:r>
          </w:p>
        </w:tc>
        <w:tc>
          <w:tcPr>
            <w:tcW w:type="dxa" w:w="2835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25%</w:t>
            </w:r>
          </w:p>
        </w:tc>
        <w:tc>
          <w:tcPr>
            <w:tcW w:type="dxa" w:w="2835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75%</w:t>
            </w:r>
          </w:p>
        </w:tc>
      </w:tr>
      <w:tr>
        <w:trPr>
          <w:cantSplit/>
        </w:trPr>
        <w:tc>
          <w:tcPr>
            <w:tcW w:type="dxa" w:w="4876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共同渠道</w:t>
            </w:r>
          </w:p>
        </w:tc>
        <w:tc>
          <w:tcPr>
            <w:tcW w:type="dxa" w:w="2835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50%</w:t>
            </w:r>
          </w:p>
        </w:tc>
        <w:tc>
          <w:tcPr>
            <w:tcW w:type="dxa" w:w="2835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50%</w:t>
            </w:r>
          </w:p>
        </w:tc>
      </w:tr>
      <w:tr>
        <w:trPr>
          <w:cantSplit/>
        </w:trPr>
        <w:tc>
          <w:tcPr>
            <w:tcW w:type="dxa" w:w="4876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我方引入赞助</w:t>
            </w:r>
          </w:p>
        </w:tc>
        <w:tc>
          <w:tcPr>
            <w:tcW w:type="dxa" w:w="2835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70%</w:t>
            </w:r>
          </w:p>
        </w:tc>
        <w:tc>
          <w:tcPr>
            <w:tcW w:type="dxa" w:w="2835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30%</w:t>
            </w:r>
          </w:p>
        </w:tc>
      </w:tr>
      <w:tr>
        <w:trPr>
          <w:cantSplit/>
        </w:trPr>
        <w:tc>
          <w:tcPr>
            <w:tcW w:type="dxa" w:w="4876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合作方引入赞助</w:t>
            </w:r>
          </w:p>
        </w:tc>
        <w:tc>
          <w:tcPr>
            <w:tcW w:type="dxa" w:w="2835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25%</w:t>
            </w:r>
          </w:p>
        </w:tc>
        <w:tc>
          <w:tcPr>
            <w:tcW w:type="dxa" w:w="2835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75%</w:t>
            </w:r>
          </w:p>
        </w:tc>
      </w:tr>
    </w:tbl>
    <w:p>
      <w:pPr>
        <w:spacing w:before="60" w:after="60" w:line="259" w:lineRule="auto"/>
      </w:pPr>
      <w:r>
        <w:rPr>
          <w:rFonts w:ascii="微软雅黑" w:hAnsi="微软雅黑" w:eastAsia="微软雅黑"/>
          <w:b w:val="0"/>
          <w:color w:val="666666"/>
          <w:sz w:val="16"/>
        </w:rPr>
        <w:t>备选：票务实收 0–10 万部分 70%:30%，10–30 万部分 60%:40%，30 万以上 50%:50%。如需保障，可讨论 3–5 万元以内、分期、取消全退，不建议大额买断。</w:t>
      </w:r>
    </w:p>
    <w:p>
      <w:pPr>
        <w:spacing w:before="100" w:after="40" w:line="240" w:lineRule="auto"/>
      </w:pPr>
      <w:r>
        <w:rPr>
          <w:rFonts w:ascii="微软雅黑" w:hAnsi="微软雅黑" w:eastAsia="微软雅黑"/>
          <w:b/>
          <w:color w:val="1A3A5C"/>
          <w:sz w:val="21"/>
        </w:rPr>
        <w:t>3. 票价建议（结合 2026 年收入与消费）</w:t>
      </w:r>
    </w:p>
    <w:p>
      <w:pPr>
        <w:spacing w:before="0" w:after="60" w:line="259" w:lineRule="auto"/>
      </w:pPr>
      <w:r>
        <w:rPr>
          <w:rFonts w:ascii="微软雅黑" w:hAnsi="微软雅黑" w:eastAsia="微软雅黑"/>
          <w:b w:val="0"/>
          <w:color w:val="333333"/>
          <w:sz w:val="17"/>
        </w:rPr>
        <w:t>全国半年人均可支配收入 22,981 元，城镇 30,126 元；上海城镇 2025 年 96,842 元。消费更问“值不值”。公开讲座主价格建议 499 元，不要用单一 699 元同时劝退大众、又做不高端。</w:t>
      </w:r>
    </w:p>
    <w:tbl>
      <w:tblPr>
        <w:tblStyle w:val="TableGrid"/>
        <w:tblW w:type="dxa" w:w="10546"/>
        <w:tblLayout w:type="fixed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1927"/>
            <w:shd w:val="clear" w:color="auto" w:fill="3D5A40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产品</w:t>
            </w:r>
          </w:p>
        </w:tc>
        <w:tc>
          <w:tcPr>
            <w:tcW w:type="dxa" w:w="2381"/>
            <w:shd w:val="clear" w:color="auto" w:fill="3D5A40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票档</w:t>
            </w:r>
          </w:p>
        </w:tc>
        <w:tc>
          <w:tcPr>
            <w:tcW w:type="dxa" w:w="3628"/>
            <w:shd w:val="clear" w:color="auto" w:fill="3D5A40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价格</w:t>
            </w:r>
          </w:p>
        </w:tc>
        <w:tc>
          <w:tcPr>
            <w:tcW w:type="dxa" w:w="2608"/>
            <w:shd w:val="clear" w:color="auto" w:fill="3D5A40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A 公开讲座</w:t>
            </w:r>
          </w:p>
        </w:tc>
        <w:tc>
          <w:tcPr>
            <w:tcW w:type="dxa" w:w="2381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早鸟 / 标准 / 前排</w:t>
            </w:r>
          </w:p>
        </w:tc>
        <w:tc>
          <w:tcPr>
            <w:tcW w:type="dxa" w:w="3628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399 / 499 / 799 元</w:t>
            </w:r>
          </w:p>
        </w:tc>
        <w:tc>
          <w:tcPr>
            <w:tcW w:type="dxa" w:w="2608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目标均价 480–550 元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B 讲座+晚宴</w:t>
            </w:r>
          </w:p>
        </w:tc>
        <w:tc>
          <w:tcPr>
            <w:tcW w:type="dxa" w:w="2381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下午 / 晚宴 / 通票</w:t>
            </w:r>
          </w:p>
        </w:tc>
        <w:tc>
          <w:tcPr>
            <w:tcW w:type="dxa" w:w="3628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499–599 / 1,280–1,680 / 1,580–1,980 元</w:t>
            </w:r>
          </w:p>
        </w:tc>
        <w:tc>
          <w:tcPr>
            <w:tcW w:type="dxa" w:w="2608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晚宴单列，不与讲座混价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C 企业桌</w:t>
            </w:r>
          </w:p>
        </w:tc>
        <w:tc>
          <w:tcPr>
            <w:tcW w:type="dxa" w:w="2381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8–10 人包桌</w:t>
            </w:r>
          </w:p>
        </w:tc>
        <w:tc>
          <w:tcPr>
            <w:tcW w:type="dxa" w:w="3628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1.2 万–1.8 万 / 桌</w:t>
            </w:r>
          </w:p>
        </w:tc>
        <w:tc>
          <w:tcPr>
            <w:tcW w:type="dxa" w:w="2608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人均约 800–1,500 元</w:t>
            </w:r>
          </w:p>
        </w:tc>
      </w:tr>
    </w:tbl>
    <w:p>
      <w:pPr>
        <w:spacing w:before="60" w:after="60" w:line="259" w:lineRule="auto"/>
      </w:pPr>
      <w:r>
        <w:rPr>
          <w:rFonts w:ascii="微软雅黑" w:hAnsi="微软雅黑" w:eastAsia="微软雅黑"/>
          <w:b w:val="0"/>
          <w:color w:val="666666"/>
          <w:sz w:val="16"/>
        </w:rPr>
        <w:t>示意：200 席 × 均价 500 元 ≈ 10 万元；300 席 ≈ 15 万元（未计赞助、税费、退款）。容量确认后锁定票档。</w:t>
      </w:r>
    </w:p>
    <w:p>
      <w:pPr>
        <w:spacing w:before="100" w:after="40" w:line="240" w:lineRule="auto"/>
      </w:pPr>
      <w:r>
        <w:rPr>
          <w:rFonts w:ascii="微软雅黑" w:hAnsi="微软雅黑" w:eastAsia="微软雅黑"/>
          <w:b/>
          <w:color w:val="1A3A5C"/>
          <w:sz w:val="21"/>
        </w:rPr>
        <w:t>4. 必须写入合同的底线</w:t>
      </w:r>
    </w:p>
    <w:tbl>
      <w:tblPr>
        <w:tblStyle w:val="TableGrid"/>
        <w:tblW w:type="dxa" w:w="10546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2381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主题</w:t>
            </w:r>
          </w:p>
        </w:tc>
        <w:tc>
          <w:tcPr>
            <w:tcW w:type="dxa" w:w="8164"/>
            <w:shd w:val="clear" w:color="auto" w:fill="1A3A5C"/>
            <w:tcMar>
              <w:top w:w="28" w:type="dxa"/>
              <w:left w:w="50" w:type="dxa"/>
              <w:bottom w:w="28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约定要点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老师确认 / 取消</w:t>
            </w:r>
          </w:p>
        </w:tc>
        <w:tc>
          <w:tcPr>
            <w:tcW w:type="dxa" w:w="8164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书面确认出席；老师端取消则已付保障款 100% 退还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宣传授权</w:t>
            </w:r>
          </w:p>
        </w:tc>
        <w:tc>
          <w:tcPr>
            <w:tcW w:type="dxa" w:w="8164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姓名、肖像、海报、短视频可用范围和审批时限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数据与防绕单</w:t>
            </w:r>
          </w:p>
        </w:tc>
        <w:tc>
          <w:tcPr>
            <w:tcW w:type="dxa" w:w="8164"/>
            <w:shd w:val="clear" w:color="auto" w:fill="FFFFFF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项目新客户共有；各自引入资源设 12 个月保护期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16"/>
              </w:rPr>
              <w:t>结算</w:t>
            </w:r>
          </w:p>
        </w:tc>
        <w:tc>
          <w:tcPr>
            <w:tcW w:type="dxa" w:w="8164"/>
            <w:shd w:val="clear" w:color="auto" w:fill="F5F7F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1A3A5C"/>
                <w:sz w:val="16"/>
              </w:rPr>
              <w:t>统一台账，开售后按周对账，结束后 10 个工作日内初结</w:t>
            </w:r>
          </w:p>
        </w:tc>
      </w:tr>
    </w:tbl>
    <w:p>
      <w:pPr>
        <w:spacing w:before="100" w:after="40" w:line="240" w:lineRule="auto"/>
      </w:pPr>
      <w:r>
        <w:rPr>
          <w:rFonts w:ascii="微软雅黑" w:hAnsi="微软雅黑" w:eastAsia="微软雅黑"/>
          <w:b/>
          <w:color w:val="1A3A5C"/>
          <w:sz w:val="21"/>
        </w:rPr>
        <w:t>5. 建议立即确认的三件事</w:t>
      </w:r>
    </w:p>
    <w:tbl>
      <w:tblPr>
        <w:tblW w:type="dxa" w:w="10546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val="clear" w:color="auto" w:fill="EEF3F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40" w:line="259" w:lineRule="auto"/>
            </w:pPr>
            <w:r/>
            <w:r>
              <w:rPr>
                <w:rFonts w:ascii="微软雅黑" w:hAnsi="微软雅黑" w:eastAsia="微软雅黑"/>
                <w:b/>
                <w:color w:val="1A3A5C"/>
                <w:sz w:val="18"/>
              </w:rPr>
              <w:t>① 身份</w:t>
            </w:r>
          </w:p>
          <w:p>
            <w:pPr>
              <w:spacing w:before="0" w:after="20" w:line="259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书面确认我方为联合运营方，按来源分成，不采用 10–18 万买断。</w:t>
            </w:r>
          </w:p>
        </w:tc>
        <w:tc>
          <w:tcPr>
            <w:tcW w:type="dxa" w:w="3515"/>
            <w:shd w:val="clear" w:color="auto" w:fill="F7F3E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40" w:line="259" w:lineRule="auto"/>
            </w:pPr>
            <w:r/>
            <w:r>
              <w:rPr>
                <w:rFonts w:ascii="微软雅黑" w:hAnsi="微软雅黑" w:eastAsia="微软雅黑"/>
                <w:b/>
                <w:color w:val="1A3A5C"/>
                <w:sz w:val="18"/>
              </w:rPr>
              <w:t>② 票价</w:t>
            </w:r>
          </w:p>
          <w:p>
            <w:pPr>
              <w:spacing w:before="0" w:after="20" w:line="259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公开讲座按 399 / 499 / 799 启动；若有晚宴，再单列私享票。</w:t>
            </w:r>
          </w:p>
        </w:tc>
        <w:tc>
          <w:tcPr>
            <w:tcW w:type="dxa" w:w="3515"/>
            <w:shd w:val="clear" w:color="auto" w:fill="E8F2E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>
            <w:pPr>
              <w:spacing w:before="0" w:after="40" w:line="259" w:lineRule="auto"/>
            </w:pPr>
            <w:r/>
            <w:r>
              <w:rPr>
                <w:rFonts w:ascii="微软雅黑" w:hAnsi="微软雅黑" w:eastAsia="微软雅黑"/>
                <w:b/>
                <w:color w:val="1A3A5C"/>
                <w:sz w:val="18"/>
              </w:rPr>
              <w:t>③ 授权</w:t>
            </w:r>
          </w:p>
          <w:p>
            <w:pPr>
              <w:spacing w:before="0" w:after="20" w:line="259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16"/>
              </w:rPr>
              <w:t>一周内提供老师出席书面确认、授权链，达到可开售讨论条件。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652" w:right="680" w:bottom="595" w:left="680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5"/>
      </w:rPr>
      <w:t>本页供合作方快速对齐。细节见《联合运营合作方案（对外完整版）》。不构成要约，最终以合同为准。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微软雅黑" w:hAnsi="微软雅黑" w:eastAsia="微软雅黑"/>
        <w:b w:val="0"/>
        <w:color w:val="666666"/>
        <w:sz w:val="16"/>
      </w:rPr>
      <w:t>对外沟通 · 一页纸  ·  讨论稿  ·  2026年8月14日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