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24" w:lineRule="auto"/>
      </w:pPr>
      <w:r>
        <w:rPr>
          <w:rFonts w:ascii="微软雅黑" w:hAnsi="微软雅黑" w:eastAsia="微软雅黑"/>
          <w:b w:val="0"/>
          <w:color w:val="333333"/>
          <w:sz w:val="20"/>
        </w:rPr>
      </w:r>
    </w:p>
    <w:p>
      <w:pPr>
        <w:spacing w:before="0" w:after="80" w:line="324" w:lineRule="auto"/>
        <w:jc w:val="center"/>
      </w:pPr>
      <w:r>
        <w:rPr>
          <w:rFonts w:ascii="微软雅黑" w:hAnsi="微软雅黑" w:eastAsia="微软雅黑"/>
          <w:b/>
          <w:color w:val="8B6914"/>
          <w:sz w:val="22"/>
        </w:rPr>
        <w:t>PROJECT BRIEF</w:t>
      </w:r>
    </w:p>
    <w:p>
      <w:pPr>
        <w:spacing w:before="0" w:after="120" w:line="324" w:lineRule="auto"/>
        <w:jc w:val="center"/>
      </w:pPr>
      <w:r>
        <w:rPr>
          <w:rFonts w:ascii="微软雅黑" w:hAnsi="微软雅黑" w:eastAsia="微软雅黑"/>
          <w:b/>
          <w:color w:val="1A3A5C"/>
          <w:sz w:val="44"/>
        </w:rPr>
        <w:t>10 月 31 日王德峰老师活动</w:t>
      </w:r>
    </w:p>
    <w:p>
      <w:pPr>
        <w:spacing w:before="0" w:after="160" w:line="324" w:lineRule="auto"/>
        <w:jc w:val="center"/>
      </w:pPr>
      <w:r>
        <w:rPr>
          <w:rFonts w:ascii="微软雅黑" w:hAnsi="微软雅黑" w:eastAsia="微软雅黑"/>
          <w:b/>
          <w:color w:val="1A3A5C"/>
          <w:sz w:val="52"/>
        </w:rPr>
        <w:t>联合运营合作方案</w:t>
      </w:r>
    </w:p>
    <w:p>
      <w:pPr>
        <w:spacing w:before="0" w:after="240" w:line="324" w:lineRule="auto"/>
        <w:jc w:val="center"/>
      </w:pPr>
      <w:r>
        <w:rPr>
          <w:rFonts w:ascii="微软雅黑" w:hAnsi="微软雅黑" w:eastAsia="微软雅黑"/>
          <w:b/>
          <w:color w:val="8B6914"/>
          <w:sz w:val="28"/>
        </w:rPr>
        <w:t>对外沟通版</w:t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3EA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6914"/>
                <w:sz w:val="22"/>
              </w:rPr>
              <w:t>合作定位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双方共同成立 10 月 31 日活动独立项目：合作方提供老师及内容 / IP 资源，我方负责商业化、组织、渠道与现场交付；双方依据资源贡献、获客来源、成本承担及履约责任进行结算。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0" w:after="120" w:line="324" w:lineRule="auto"/>
        <w:jc w:val="center"/>
      </w:pPr>
      <w:r>
        <w:rPr>
          <w:rFonts w:ascii="微软雅黑" w:hAnsi="微软雅黑" w:eastAsia="微软雅黑"/>
          <w:b/>
          <w:color w:val="1A3A5C"/>
          <w:sz w:val="24"/>
        </w:rPr>
        <w:t>角色：联合主办 / 联合运营方  ·  非渠道代理</w:t>
      </w:r>
    </w:p>
    <w:p>
      <w:pPr>
        <w:spacing w:before="0" w:after="40" w:line="324" w:lineRule="auto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版本日期：2026 年 8 月 14 日　　文件属性：商业合作讨论稿｜非最终合同</w:t>
      </w:r>
    </w:p>
    <w:p>
      <w:pPr>
        <w:spacing w:before="0" w:after="160" w:line="324" w:lineRule="auto"/>
        <w:jc w:val="center"/>
      </w:pPr>
      <w:r>
        <w:rPr>
          <w:rFonts w:ascii="微软雅黑" w:hAnsi="微软雅黑" w:eastAsia="微软雅黑"/>
          <w:b w:val="0"/>
          <w:color w:val="666666"/>
          <w:sz w:val="19"/>
        </w:rPr>
        <w:t>活动名称、地点、容量等尚未完整确定，正文以“待确认”标示。分成比例与票价为建议，最终以正式合同为准。</w:t>
      </w:r>
    </w:p>
    <w:p>
      <w:r>
        <w:br w:type="page"/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一、合作目标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以安全、合规、专业的标准完成 10 月 31 日活动，兼顾品牌口碑与商业结果。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通过清晰分工和透明结算，让老师 / IP 价值与运营执行价值均得到合理回报。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以本次活动作为一期样板，成功后优先探讨后续人文、哲学及相关知识产品合作。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二、合作原则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238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原则</w:t>
            </w:r>
          </w:p>
        </w:tc>
        <w:tc>
          <w:tcPr>
            <w:tcW w:type="dxa" w:w="6917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具体含义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身份对等</w:t>
            </w:r>
          </w:p>
        </w:tc>
        <w:tc>
          <w:tcPr>
            <w:tcW w:type="dxa" w:w="691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我方作为联合主办 / 联合运营方参与项目，不仅承担票务渠道职能。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按贡献分配</w:t>
            </w:r>
          </w:p>
        </w:tc>
        <w:tc>
          <w:tcPr>
            <w:tcW w:type="dxa" w:w="691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区分客户来源、招商来源、成本承担和实际履约，分别核算。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风险共担</w:t>
            </w:r>
          </w:p>
        </w:tc>
        <w:tc>
          <w:tcPr>
            <w:tcW w:type="dxa" w:w="691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不设置与项目确定性不匹配的大额前置买断；重大风险按约定分担。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数据透明</w:t>
            </w:r>
          </w:p>
        </w:tc>
        <w:tc>
          <w:tcPr>
            <w:tcW w:type="dxa" w:w="691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统一票务及对账口径，双方可查验报名、退款、赠票和渠道数据。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长期保护</w:t>
            </w:r>
          </w:p>
        </w:tc>
        <w:tc>
          <w:tcPr>
            <w:tcW w:type="dxa" w:w="691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明确客户、社群、企业及赞助资源的归属和保护期，避免绕单。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三、双方分工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1927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工作模块</w:t>
            </w:r>
          </w:p>
        </w:tc>
        <w:tc>
          <w:tcPr>
            <w:tcW w:type="dxa" w:w="3685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合作方主要职责</w:t>
            </w:r>
          </w:p>
        </w:tc>
        <w:tc>
          <w:tcPr>
            <w:tcW w:type="dxa" w:w="3685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我方主要职责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核心资源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落实老师出席；确认主题、内容边界、活动形式及授权链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根据市场反馈协助产品化、场次设计与商业包装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场地与制作</w:t>
            </w:r>
          </w:p>
        </w:tc>
        <w:tc>
          <w:tcPr>
            <w:tcW w:type="dxa" w:w="368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配合确认老师端要求</w:t>
            </w:r>
          </w:p>
        </w:tc>
        <w:tc>
          <w:tcPr>
            <w:tcW w:type="dxa" w:w="368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场地筛选与谈判、舞美视听、物料、供应商和现场统筹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营销与销售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提供可用的内容素材及自有渠道支持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营销方案、海报文案、票务、社群、企业客户及渠道管理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招商与商务</w:t>
            </w:r>
          </w:p>
        </w:tc>
        <w:tc>
          <w:tcPr>
            <w:tcW w:type="dxa" w:w="368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配合权益确认和必要的老师端审核</w:t>
            </w:r>
          </w:p>
        </w:tc>
        <w:tc>
          <w:tcPr>
            <w:tcW w:type="dxa" w:w="368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招商产品设计、客户开发、谈判、签约及权益交付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客户与现场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老师接待及内容环节配合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报名咨询、开票 / 退款协同、签到、安保、应急及复盘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财务与数据</w:t>
            </w:r>
          </w:p>
        </w:tc>
        <w:tc>
          <w:tcPr>
            <w:tcW w:type="dxa" w:w="368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核对对方来源订单及应结款项</w:t>
            </w:r>
          </w:p>
        </w:tc>
        <w:tc>
          <w:tcPr>
            <w:tcW w:type="dxa" w:w="368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建立统一台账，按周期出具销售、成本和结算报告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四、推荐商务结构：按来源分成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以下为用于启动讨论的建议比例。双方可结合最终成本责任、资源投入及独家程度，在区间内确认。不要笼统谈“利润五五分”或“流水五五分”，应按照收入来源、谁承担成本、谁负责履约分别结算。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cantSplit/>
        </w:trPr>
        <w:tc>
          <w:tcPr>
            <w:tcW w:type="dxa" w:w="2608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收入来源</w:t>
            </w:r>
          </w:p>
        </w:tc>
        <w:tc>
          <w:tcPr>
            <w:tcW w:type="dxa" w:w="181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我方建议比例</w:t>
            </w:r>
          </w:p>
        </w:tc>
        <w:tc>
          <w:tcPr>
            <w:tcW w:type="dxa" w:w="1927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合作方建议比例</w:t>
            </w:r>
          </w:p>
        </w:tc>
        <w:tc>
          <w:tcPr>
            <w:tcW w:type="dxa" w:w="2948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识别口径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我方独立带来的个人报名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60%–70%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30%–40%</w:t>
            </w:r>
          </w:p>
        </w:tc>
        <w:tc>
          <w:tcPr>
            <w:tcW w:type="dxa" w:w="294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我方专属链接 / 二维码 / 邀请码及可核验线索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合作方独立带来的个人报名</w:t>
            </w:r>
          </w:p>
        </w:tc>
        <w:tc>
          <w:tcPr>
            <w:tcW w:type="dxa" w:w="181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20%–30%</w:t>
            </w:r>
          </w:p>
        </w:tc>
        <w:tc>
          <w:tcPr>
            <w:tcW w:type="dxa" w:w="192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70%–80%</w:t>
            </w:r>
          </w:p>
        </w:tc>
        <w:tc>
          <w:tcPr>
            <w:tcW w:type="dxa" w:w="294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合作方专属链接 / 二维码 / 邀请码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双方共同渠道报名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50%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50%</w:t>
            </w:r>
          </w:p>
        </w:tc>
        <w:tc>
          <w:tcPr>
            <w:tcW w:type="dxa" w:w="294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联合投放、共同活动或无法合理单独归因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我方引入的赞助</w:t>
            </w:r>
          </w:p>
        </w:tc>
        <w:tc>
          <w:tcPr>
            <w:tcW w:type="dxa" w:w="181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70%–80%</w:t>
            </w:r>
          </w:p>
        </w:tc>
        <w:tc>
          <w:tcPr>
            <w:tcW w:type="dxa" w:w="192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20%–30%</w:t>
            </w:r>
          </w:p>
        </w:tc>
        <w:tc>
          <w:tcPr>
            <w:tcW w:type="dxa" w:w="294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我方首次引荐并主导成交、交付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合作方引入的赞助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20%–30%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70%–80%</w:t>
            </w:r>
          </w:p>
        </w:tc>
        <w:tc>
          <w:tcPr>
            <w:tcW w:type="dxa" w:w="294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合作方首次引荐并主导成交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我方开发的企业 / 团体客户</w:t>
            </w:r>
          </w:p>
        </w:tc>
        <w:tc>
          <w:tcPr>
            <w:tcW w:type="dxa" w:w="181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60%–70%</w:t>
            </w:r>
          </w:p>
        </w:tc>
        <w:tc>
          <w:tcPr>
            <w:tcW w:type="dxa" w:w="192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30%–40%</w:t>
            </w:r>
          </w:p>
        </w:tc>
        <w:tc>
          <w:tcPr>
            <w:tcW w:type="dxa" w:w="294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我方开发、谈判并维护的组织客户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EEF3F8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1A3A5C"/>
                <w:sz w:val="22"/>
              </w:rPr>
              <w:t>建议书面起点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我方独立开发的报名和客户，建议落在 60% : 40%。该比例覆盖获客、活动运营、场地统筹、商务、客户服务、现场执行及风险承担，不是渠道佣金。合作方自有渠道带来的报名，合作方拿大头。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五、票价建议（供双方确认）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票价是本次活动对外最关键的产品决策之一，也直接决定分成能否兑现。以下建议结合 2026 年宏观经济、人均可支配收入，以及王德峰老师内容“线上可免费听、线下长周期课很贵”的市场结构，供双方讨论。场地、容量确定后锁定最终票档。</w:t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5.1 定价依据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国家统计局 2026 年上半年：全国居民人均可支配收入 22,981 元，名义增长 5.2%、实际增长 4.2%；中位数 19,036 元，只有平均数的 82.8%。城镇人均可支配收入 30,126 元，约合每月 5,021 元。人均消费支出只增长 3.7%，慢于收入，说明居民仍在储蓄。教育文化娱乐半年人均 1,572 元，城镇 1,952 元。上海 2025 年城镇常住居民人均可支配收入 96,842 元，约合每月 8,070 元，明显高于全国，因此上海场可以高于全国通价，但不能按“全国人均”去卖高价大众票。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同期 GDP 增长 4.7%，社会消费品零售总额仅增长 1.3%，服务零售增长 5.3%。市场不是全面没钱，而是更问“值不值”：标准化商品更省，教育、健康、体验仍有支付意愿。王德峰老师线上课大量可免费获取，线下研修班常见 1.98 万–2.98 万元。10 月 31 日这场既不能按公开课免费来，也不能按长周期课程来。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3175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参照</w:t>
            </w:r>
          </w:p>
        </w:tc>
        <w:tc>
          <w:tcPr>
            <w:tcW w:type="dxa" w:w="238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数字</w:t>
            </w:r>
          </w:p>
        </w:tc>
        <w:tc>
          <w:tcPr>
            <w:tcW w:type="dxa" w:w="3742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对票价的含义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全国半年人均可支配收入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22,981 元</w:t>
            </w:r>
          </w:p>
        </w:tc>
        <w:tc>
          <w:tcPr>
            <w:tcW w:type="dxa" w:w="374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全国平均收入撑不起高价大众票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城镇半年人均可支配收入</w:t>
            </w:r>
          </w:p>
        </w:tc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30,126 元</w:t>
            </w:r>
          </w:p>
        </w:tc>
        <w:tc>
          <w:tcPr>
            <w:tcW w:type="dxa" w:w="374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一张 499 元约占其 1.7%，中产可接受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上海城镇 2025 年可支配收入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96,842 元</w:t>
            </w:r>
          </w:p>
        </w:tc>
        <w:tc>
          <w:tcPr>
            <w:tcW w:type="dxa" w:w="374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上海场可以做分层溢价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城镇半年教育文化娱乐支出</w:t>
            </w:r>
          </w:p>
        </w:tc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1,952 元</w:t>
            </w:r>
          </w:p>
        </w:tc>
        <w:tc>
          <w:tcPr>
            <w:tcW w:type="dxa" w:w="374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一张 699 元约占三分之一，门槛偏高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同类知识演讲大众档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约 328–728 元</w:t>
            </w:r>
          </w:p>
        </w:tc>
        <w:tc>
          <w:tcPr>
            <w:tcW w:type="dxa" w:w="374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前排 / VIP 再收到 900–1,500 元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5.2 定价原则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低门槛进、高价值升：用标准票走量，用前排、晚宴、企业包桌收溢价。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不要全国统一一个价，更不要用单一中间价同时劝退普通听众、又做不高端。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加价必须加东西：提问、前排、晚宴、资料、社群，而不是只加数字。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心理价位建议使用 399 / 499 / 599 / 799 / 1,280，少用 699。</w:t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3EA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6914"/>
                <w:sz w:val="22"/>
              </w:rPr>
              <w:t>对外主价格建议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如果只能对外报一个公开讲座主价格，建议报 499 元，而不是 699 元。老师溢价用 799 元前排和晚宴去收，不从入场门槛上收。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5.3 产品 A：半天公开讲座（待确认）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形态：约 2–3 小时讲座，不含正餐。适合走量，是个人票的基本盘。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2608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票档</w:t>
            </w:r>
          </w:p>
        </w:tc>
        <w:tc>
          <w:tcPr>
            <w:tcW w:type="dxa" w:w="2268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建议价格</w:t>
            </w:r>
          </w:p>
        </w:tc>
        <w:tc>
          <w:tcPr>
            <w:tcW w:type="dxa" w:w="4422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作用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早鸟 / 学生 / 社群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399 元</w:t>
            </w:r>
          </w:p>
        </w:tc>
        <w:tc>
          <w:tcPr>
            <w:tcW w:type="dxa" w:w="442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把第一批票卖动，形成销售节奏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标准票（主力）</w:t>
            </w:r>
          </w:p>
        </w:tc>
        <w:tc>
          <w:tcPr>
            <w:tcW w:type="dxa" w:w="226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499 元</w:t>
            </w:r>
          </w:p>
        </w:tc>
        <w:tc>
          <w:tcPr>
            <w:tcW w:type="dxa" w:w="442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约一半销量应落在这里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前排 / 提问 / 交流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799 元</w:t>
            </w:r>
          </w:p>
        </w:tc>
        <w:tc>
          <w:tcPr>
            <w:tcW w:type="dxa" w:w="442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给愿为靠近老师多付钱的人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666666"/>
          <w:sz w:val="21"/>
        </w:rPr>
        <w:t>目标均价 480–550 元。399 元大约相当于上海城镇月收入的 5%，对本地中产是“想一想会买”的价格。</w:t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5.4 产品 B：下午讲座 + 晚间私享（待确认）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若落地高端场地并配备晚宴或小桌交流，应拆成两张产品，不要和讲座混成一张 699 元的票。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272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票档</w:t>
            </w:r>
          </w:p>
        </w:tc>
        <w:tc>
          <w:tcPr>
            <w:tcW w:type="dxa" w:w="249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建议价格</w:t>
            </w:r>
          </w:p>
        </w:tc>
        <w:tc>
          <w:tcPr>
            <w:tcW w:type="dxa" w:w="4082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卖的是什么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只听下午讲座</w:t>
            </w:r>
          </w:p>
        </w:tc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499–599 元</w:t>
            </w:r>
          </w:p>
        </w:tc>
        <w:tc>
          <w:tcPr>
            <w:tcW w:type="dxa" w:w="408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思想内容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晚宴私享</w:t>
            </w:r>
          </w:p>
        </w:tc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1,280–1,680 元</w:t>
            </w:r>
          </w:p>
        </w:tc>
        <w:tc>
          <w:tcPr>
            <w:tcW w:type="dxa" w:w="408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场地、餐、小桌交流、圈层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全天通票</w:t>
            </w:r>
          </w:p>
        </w:tc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1,580–1,980 元</w:t>
            </w:r>
          </w:p>
        </w:tc>
        <w:tc>
          <w:tcPr>
            <w:tcW w:type="dxa" w:w="408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比分开买略便宜，推动升级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企业包桌（8–10 人）</w:t>
            </w:r>
          </w:p>
        </w:tc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1.2 万–1.8 万 / 桌</w:t>
            </w:r>
          </w:p>
        </w:tc>
        <w:tc>
          <w:tcPr>
            <w:tcW w:type="dxa" w:w="408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抬高均价、锁定团体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5.5 产品 C：企业包场 / 冠名 / 赞助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个人票负责场面和口碑，企业桌和赞助负责覆盖场地与老师相关成本。企业包场、冠名、包桌人均可以做到 800–1,500 元。建议与个人票分开设计权益，不混用同一价格带。</w:t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5.6 收入示意（容量待确认后替换）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238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情景</w:t>
            </w:r>
          </w:p>
        </w:tc>
        <w:tc>
          <w:tcPr>
            <w:tcW w:type="dxa" w:w="3742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假设</w:t>
            </w:r>
          </w:p>
        </w:tc>
        <w:tc>
          <w:tcPr>
            <w:tcW w:type="dxa" w:w="3175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票务收入示意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讲座走量</w:t>
            </w:r>
          </w:p>
        </w:tc>
        <w:tc>
          <w:tcPr>
            <w:tcW w:type="dxa" w:w="374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200 个付费席 × 均价 500 元</w:t>
            </w:r>
          </w:p>
        </w:tc>
        <w:tc>
          <w:tcPr>
            <w:tcW w:type="dxa" w:w="317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约 10 万元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讲座走量</w:t>
            </w:r>
          </w:p>
        </w:tc>
        <w:tc>
          <w:tcPr>
            <w:tcW w:type="dxa" w:w="374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300 个付费席 × 均价 500 元</w:t>
            </w:r>
          </w:p>
        </w:tc>
        <w:tc>
          <w:tcPr>
            <w:tcW w:type="dxa" w:w="317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约 15 万元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讲座 + 部分升级</w:t>
            </w:r>
          </w:p>
        </w:tc>
        <w:tc>
          <w:tcPr>
            <w:tcW w:type="dxa" w:w="374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220 个付费席 × 均价 650 元</w:t>
            </w:r>
          </w:p>
        </w:tc>
        <w:tc>
          <w:tcPr>
            <w:tcW w:type="dxa" w:w="317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约 14.3 万元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讲座 + 晚宴小规模</w:t>
            </w:r>
          </w:p>
        </w:tc>
        <w:tc>
          <w:tcPr>
            <w:tcW w:type="dxa" w:w="374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80 个私享席 × 均价 1,580 元</w:t>
            </w:r>
          </w:p>
        </w:tc>
        <w:tc>
          <w:tcPr>
            <w:tcW w:type="dxa" w:w="317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约 12.6 万元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666666"/>
          <w:sz w:val="21"/>
        </w:rPr>
        <w:t>以上未计入赞助、企业包桌、税费、平台手续费、赠票和退款。容量与成本确认后，双方应用同一张测算表更新。该示意也说明：在票价与座位尚未闭合时，不适合由单方支付 10–18 万元固定买断费并承担全部经营风险。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六、备选商务结构</w:t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6.1 备选 A：阶梯式票务分成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不支付 10–18 万元固定买断费；按活动累计票务实收收入分段计算，既保障冷启动期运营投入，也让项目成功时 IP 方获得更高回报。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3969"/>
            <w:shd w:val="clear" w:color="auto" w:fill="3D5A40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累计票务实收区间</w:t>
            </w:r>
          </w:p>
        </w:tc>
        <w:tc>
          <w:tcPr>
            <w:tcW w:type="dxa" w:w="2664"/>
            <w:shd w:val="clear" w:color="auto" w:fill="3D5A40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我方比例</w:t>
            </w:r>
          </w:p>
        </w:tc>
        <w:tc>
          <w:tcPr>
            <w:tcW w:type="dxa" w:w="2664"/>
            <w:shd w:val="clear" w:color="auto" w:fill="3D5A40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合作方比例</w:t>
            </w:r>
          </w:p>
        </w:tc>
      </w:tr>
      <w:tr>
        <w:trPr>
          <w:cantSplit/>
        </w:trPr>
        <w:tc>
          <w:tcPr>
            <w:tcW w:type="dxa" w:w="3969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0–10 万元（含）</w:t>
            </w:r>
          </w:p>
        </w:tc>
        <w:tc>
          <w:tcPr>
            <w:tcW w:type="dxa" w:w="266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70%</w:t>
            </w:r>
          </w:p>
        </w:tc>
        <w:tc>
          <w:tcPr>
            <w:tcW w:type="dxa" w:w="266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30%</w:t>
            </w:r>
          </w:p>
        </w:tc>
      </w:tr>
      <w:tr>
        <w:trPr>
          <w:cantSplit/>
        </w:trPr>
        <w:tc>
          <w:tcPr>
            <w:tcW w:type="dxa" w:w="3969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10–30 万元（含）部分</w:t>
            </w:r>
          </w:p>
        </w:tc>
        <w:tc>
          <w:tcPr>
            <w:tcW w:type="dxa" w:w="266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60%</w:t>
            </w:r>
          </w:p>
        </w:tc>
        <w:tc>
          <w:tcPr>
            <w:tcW w:type="dxa" w:w="266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40%</w:t>
            </w:r>
          </w:p>
        </w:tc>
      </w:tr>
      <w:tr>
        <w:trPr>
          <w:cantSplit/>
        </w:trPr>
        <w:tc>
          <w:tcPr>
            <w:tcW w:type="dxa" w:w="3969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30 万元以上部分</w:t>
            </w:r>
          </w:p>
        </w:tc>
        <w:tc>
          <w:tcPr>
            <w:tcW w:type="dxa" w:w="266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50%</w:t>
            </w:r>
          </w:p>
        </w:tc>
        <w:tc>
          <w:tcPr>
            <w:tcW w:type="dxa" w:w="266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50%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666666"/>
          <w:sz w:val="21"/>
        </w:rPr>
        <w:t>“实收收入”建议定义为已收取且超过约定退款观察期的口径，并在合同中明确平台手续费、退款及税费的处理方式。</w:t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6.2 备选 B：小额基础保障 + 高比例分成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如合作方确需基础保障，可讨论 3–5 万元以内的老师 / 授权相关基础成本，但须与明确的交付节点、退款机制、独家权益及销售分成绑定。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238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触发节点</w:t>
            </w:r>
          </w:p>
        </w:tc>
        <w:tc>
          <w:tcPr>
            <w:tcW w:type="dxa" w:w="238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建议支付比例</w:t>
            </w:r>
          </w:p>
        </w:tc>
        <w:tc>
          <w:tcPr>
            <w:tcW w:type="dxa" w:w="4536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前置条件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合同生效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不超过 20%</w:t>
            </w:r>
          </w:p>
        </w:tc>
        <w:tc>
          <w:tcPr>
            <w:tcW w:type="dxa" w:w="4536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老师书面确认、授权链及基本活动方案齐备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达到可开售条件</w:t>
            </w:r>
          </w:p>
        </w:tc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不超过 30%</w:t>
            </w:r>
          </w:p>
        </w:tc>
        <w:tc>
          <w:tcPr>
            <w:tcW w:type="dxa" w:w="4536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场地 / 票务 / 宣传素材通过确认，可正式售票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老师完成活动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余额 50% 以上</w:t>
            </w:r>
          </w:p>
        </w:tc>
        <w:tc>
          <w:tcPr>
            <w:tcW w:type="dxa" w:w="4536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按约出席并完成约定内容，无重大违约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8EEEE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1E1E"/>
                <w:sz w:val="22"/>
              </w:rPr>
              <w:t>不建议结构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由我方单独支付 10–18 万元固定授权费，并同时承担场地、宣传、制作、人员、退款等全部经营风险。该结构需在完整独家权利和充分历史数据支持下另行评估。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七、成本、结算与数据机制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预算先批：活动启动前由双方确认预算表，超预算支出须经双方书面确认。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成本归属清晰：按“谁提出、谁受益、谁确认”界定承担方；共同成本按约定比例分摊。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统一台账：票务、企业客户、赞助、退款、赠票、渠道费和开票信息进入同一项目台账。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定期对账：建议开售后每周对账，活动结束后 10 个工作日内完成初步结算。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现金流隔离：如条件允许，使用项目专用收款账户或双方均可查验的票务后台。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八、关键权利与风险条款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249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条款主题</w:t>
            </w:r>
          </w:p>
        </w:tc>
        <w:tc>
          <w:tcPr>
            <w:tcW w:type="dxa" w:w="680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建议约定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老师确认与取消</w:t>
            </w:r>
          </w:p>
        </w:tc>
        <w:tc>
          <w:tcPr>
            <w:tcW w:type="dxa" w:w="680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老师出席、内容和时长须书面确认；因老师端原因取消 / 延期，已付授权或保障款 100% 退还，并明确已发生不可回收成本的承担。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宣传授权</w:t>
            </w:r>
          </w:p>
        </w:tc>
        <w:tc>
          <w:tcPr>
            <w:tcW w:type="dxa" w:w="680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明确姓名、肖像、简介、海报、短视频、直播 / 录播片段的可用范围、渠道、期限及审批时限。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独家与冲突</w:t>
            </w:r>
          </w:p>
        </w:tc>
        <w:tc>
          <w:tcPr>
            <w:tcW w:type="dxa" w:w="680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明确活动在地域、时间、主题和渠道上的独家范围，并约定冲突活动的处理。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客户与数据</w:t>
            </w:r>
          </w:p>
        </w:tc>
        <w:tc>
          <w:tcPr>
            <w:tcW w:type="dxa" w:w="680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报名数据仅为本项目及经同意的后续转化使用；数据访问、保管、隐私合规及删除机制清晰。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资源保护 / 防绕单</w:t>
            </w:r>
          </w:p>
        </w:tc>
        <w:tc>
          <w:tcPr>
            <w:tcW w:type="dxa" w:w="680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各自引入的企业、赞助商及渠道设 12 个月保护期，未经引入方书面同意不得绕开成交。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社群与二次转化</w:t>
            </w:r>
          </w:p>
        </w:tc>
        <w:tc>
          <w:tcPr>
            <w:tcW w:type="dxa" w:w="680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微信群 / 社群管理权、后续课程推广权和收益分配另行明确，不因本次合作自动转移。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内容成果</w:t>
            </w:r>
          </w:p>
        </w:tc>
        <w:tc>
          <w:tcPr>
            <w:tcW w:type="dxa" w:w="680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活动照片、视频、录音、课件及剪辑内容的著作权、使用权和商业化权利分别约定。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安全与合规</w:t>
            </w:r>
          </w:p>
        </w:tc>
        <w:tc>
          <w:tcPr>
            <w:tcW w:type="dxa" w:w="680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场地报批、消防、安保、广告宣传、发票税务、个人信息保护等责任到人。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九、项目推进建议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113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3628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4536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目标结果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</w:t>
            </w:r>
          </w:p>
        </w:tc>
        <w:tc>
          <w:tcPr>
            <w:tcW w:type="dxa" w:w="362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确认合作结构及授权代表</w:t>
            </w:r>
          </w:p>
        </w:tc>
        <w:tc>
          <w:tcPr>
            <w:tcW w:type="dxa" w:w="4536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书面确认联合运营身份，必要时签署保密协议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2</w:t>
            </w:r>
          </w:p>
        </w:tc>
        <w:tc>
          <w:tcPr>
            <w:tcW w:type="dxa" w:w="362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合作方提供老师确认与授权链</w:t>
            </w:r>
          </w:p>
        </w:tc>
        <w:tc>
          <w:tcPr>
            <w:tcW w:type="dxa" w:w="4536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出席书面确认、内容边界、历史活动数据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3</w:t>
            </w:r>
          </w:p>
        </w:tc>
        <w:tc>
          <w:tcPr>
            <w:tcW w:type="dxa" w:w="362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我方提交场地、票价、营销初稿</w:t>
            </w:r>
          </w:p>
        </w:tc>
        <w:tc>
          <w:tcPr>
            <w:tcW w:type="dxa" w:w="4536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确认 399 / 499 / 799 或讲座 + 晚宴结构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4</w:t>
            </w:r>
          </w:p>
        </w:tc>
        <w:tc>
          <w:tcPr>
            <w:tcW w:type="dxa" w:w="362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确认归因、预算、后台和结算</w:t>
            </w:r>
          </w:p>
        </w:tc>
        <w:tc>
          <w:tcPr>
            <w:tcW w:type="dxa" w:w="4536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收入来源可核验，成本可审批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5</w:t>
            </w:r>
          </w:p>
        </w:tc>
        <w:tc>
          <w:tcPr>
            <w:tcW w:type="dxa" w:w="362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签署正式协议及附件</w:t>
            </w:r>
          </w:p>
        </w:tc>
        <w:tc>
          <w:tcPr>
            <w:tcW w:type="dxa" w:w="4536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达到可开售条件后统一对外发布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6</w:t>
            </w:r>
          </w:p>
        </w:tc>
        <w:tc>
          <w:tcPr>
            <w:tcW w:type="dxa" w:w="362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按周复盘销售与风险</w:t>
            </w:r>
          </w:p>
        </w:tc>
        <w:tc>
          <w:tcPr>
            <w:tcW w:type="dxa" w:w="4536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活动结束后完成结算及二期合作评估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十、需双方确认的开放事项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249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680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待确认内容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活动基础信息</w:t>
            </w:r>
          </w:p>
        </w:tc>
        <w:tc>
          <w:tcPr>
            <w:tcW w:type="dxa" w:w="680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正式名称、日期 / 时段、城市、场地、容量、形式、主题、时长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票务</w:t>
            </w:r>
          </w:p>
        </w:tc>
        <w:tc>
          <w:tcPr>
            <w:tcW w:type="dxa" w:w="680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最终票档、赠票上限、早鸟 / 团购规则、退改政策、开票主体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IP 与内容</w:t>
            </w:r>
          </w:p>
        </w:tc>
        <w:tc>
          <w:tcPr>
            <w:tcW w:type="dxa" w:w="680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老师确认文件、授权主体、宣传素材、审核流程、录音录像权限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商务</w:t>
            </w:r>
          </w:p>
        </w:tc>
        <w:tc>
          <w:tcPr>
            <w:tcW w:type="dxa" w:w="680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最终分成、税费口径、成本分担、回款节点、独家范围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运营</w:t>
            </w:r>
          </w:p>
        </w:tc>
        <w:tc>
          <w:tcPr>
            <w:tcW w:type="dxa" w:w="680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项目负责人、审批时限、重大事项决策机制、应急预案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长期合作</w:t>
            </w:r>
          </w:p>
        </w:tc>
        <w:tc>
          <w:tcPr>
            <w:tcW w:type="dxa" w:w="680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后续课程优先合作权、客户二次转化及收益安排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十一、给合作方的一页共识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请把我方看成联合运营方，而不是卖票渠道。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10 月 31 日用按来源分成，而不是 10–18 万元买断。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我方独立开发的报名建议 60% : 40%，我方引入的赞助建议 70% : 30%；合作方自己的报名，合作方拿大头。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公开讲座主价格建议 499 元，前排 799 元；若有晚宴，再单列 1,280–1,680 元。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这一场是第一期。做成了，再一起做后续哲学、人文和相关知识产品。</w:t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3EA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6914"/>
                <w:sz w:val="22"/>
              </w:rPr>
              <w:t>下一步建议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双方先用一次 60–90 分钟工作会议确认合作结构、票价方向和开放事项，再由双方指定负责人将共识转化为正式合同与项目排期。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240" w:after="160" w:line="324" w:lineRule="auto"/>
        <w:jc w:val="center"/>
      </w:pPr>
      <w:r>
        <w:rPr>
          <w:rFonts w:ascii="微软雅黑" w:hAnsi="微软雅黑" w:eastAsia="微软雅黑"/>
          <w:b w:val="0"/>
          <w:color w:val="666666"/>
          <w:sz w:val="19"/>
        </w:rPr>
        <w:t>（本文件为沟通方案，不构成要约。最终合作内容以双方签署的协议为准。正式签署前建议由专业律师结合交易主体及所在地法规审阅。）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04" w:bottom="1134" w:left="130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66666"/>
        <w:sz w:val="18"/>
      </w:rPr>
      <w:t xml:space="preserve">第 </w:t>
    </w:r>
    <w:r>
      <w:rPr>
        <w:rFonts w:ascii="微软雅黑" w:hAnsi="微软雅黑" w:eastAsia="微软雅黑"/>
        <w:b w:val="0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/>
        <w:b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8" w:space="4" w:color="1A3A5C"/>
      </w:pBdr>
    </w:pPr>
    <w:r>
      <w:rPr>
        <w:rFonts w:ascii="微软雅黑" w:hAnsi="微软雅黑" w:eastAsia="微软雅黑"/>
        <w:b w:val="0"/>
        <w:color w:val="666666"/>
        <w:sz w:val="18"/>
      </w:rPr>
      <w:t>10 月 31 日王德峰老师活动 · 联合运营合作方案（对外沟通版）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