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80" w:line="300" w:lineRule="auto"/>
      </w:pPr>
      <w:r>
        <w:rPr>
          <w:rFonts w:ascii="Hiragino Sans GB" w:hAnsi="Hiragino Sans GB" w:eastAsia="Hiragino Sans GB"/>
          <w:b/>
          <w:color w:val="B8872B"/>
          <w:sz w:val="19"/>
        </w:rPr>
        <w:t>PROJECT BRIEF</w:t>
      </w:r>
    </w:p>
    <w:p>
      <w:pPr>
        <w:spacing w:before="0" w:after="140" w:line="264" w:lineRule="auto"/>
        <w:jc w:val="center"/>
      </w:pPr>
      <w:r>
        <w:rPr>
          <w:rFonts w:ascii="Hiragino Sans GB" w:hAnsi="Hiragino Sans GB" w:eastAsia="Hiragino Sans GB"/>
          <w:b/>
          <w:color w:val="17365D"/>
          <w:sz w:val="54"/>
        </w:rPr>
        <w:t>10月31日王德峰老师活动</w:t>
      </w:r>
    </w:p>
    <w:p>
      <w:pPr>
        <w:spacing w:before="0" w:after="320" w:line="300" w:lineRule="auto"/>
        <w:jc w:val="center"/>
      </w:pPr>
      <w:r>
        <w:rPr>
          <w:rFonts w:ascii="Hiragino Sans GB" w:hAnsi="Hiragino Sans GB" w:eastAsia="Hiragino Sans GB"/>
          <w:b/>
          <w:color w:val="2E75B6"/>
          <w:sz w:val="44"/>
        </w:rPr>
        <w:t>联合运营合作方案</w:t>
      </w:r>
    </w:p>
    <w:p>
      <w:pPr>
        <w:spacing w:before="0" w:after="1160" w:line="300" w:lineRule="auto"/>
        <w:jc w:val="center"/>
      </w:pPr>
      <w:r>
        <w:rPr>
          <w:rFonts w:ascii="Hiragino Sans GB" w:hAnsi="Hiragino Sans GB" w:eastAsia="Hiragino Sans GB"/>
          <w:b w:val="0"/>
          <w:color w:val="667085"/>
          <w:sz w:val="26"/>
        </w:rPr>
        <w:t>对外沟通版  +  内部决策版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2E75B6"/>
                <w:sz w:val="21"/>
              </w:rPr>
              <w:t xml:space="preserve">文件结构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第一部分可供合作方审阅；第二部分仅供我方内部使用，含谈判底线、风险测算与应对口径。</w:t>
            </w:r>
          </w:p>
        </w:tc>
      </w:tr>
    </w:tbl>
    <w:p>
      <w:pPr>
        <w:spacing w:before="0" w:after="80" w:line="300" w:lineRule="auto"/>
      </w:pPr>
    </w:p>
    <w:p>
      <w:pPr>
        <w:spacing w:before="1120" w:after="80" w:line="300" w:lineRule="auto"/>
        <w:jc w:val="center"/>
      </w:pPr>
      <w:r>
        <w:rPr>
          <w:rFonts w:ascii="Hiragino Sans GB" w:hAnsi="Hiragino Sans GB" w:eastAsia="Hiragino Sans GB"/>
          <w:b w:val="0"/>
          <w:color w:val="667085"/>
          <w:sz w:val="19"/>
        </w:rPr>
        <w:t>版本日期：2026年8月13日</w:t>
      </w:r>
    </w:p>
    <w:p>
      <w:pPr>
        <w:spacing w:before="0" w:after="120" w:line="300" w:lineRule="auto"/>
        <w:jc w:val="center"/>
      </w:pPr>
      <w:r>
        <w:rPr>
          <w:rFonts w:ascii="Hiragino Sans GB" w:hAnsi="Hiragino Sans GB" w:eastAsia="Hiragino Sans GB"/>
          <w:b/>
          <w:color w:val="A61B1B"/>
          <w:sz w:val="19"/>
        </w:rPr>
        <w:t>文件属性：商业合作讨论稿｜非最终合同</w:t>
      </w:r>
    </w:p>
    <w:p>
      <w:r>
        <w:br w:type="page"/>
      </w:r>
    </w:p>
    <w:p>
      <w:pPr>
        <w:spacing w:before="0" w:after="240" w:line="300" w:lineRule="auto"/>
      </w:pPr>
      <w:r>
        <w:rPr>
          <w:rFonts w:ascii="Hiragino Sans GB" w:hAnsi="Hiragino Sans GB" w:eastAsia="Hiragino Sans GB"/>
          <w:b/>
          <w:color w:val="B8872B"/>
          <w:sz w:val="19"/>
        </w:rPr>
        <w:t>READ ME</w:t>
      </w:r>
    </w:p>
    <w:p>
      <w:pPr>
        <w:spacing w:before="0" w:after="140" w:line="264" w:lineRule="auto"/>
      </w:pPr>
      <w:r>
        <w:rPr>
          <w:rFonts w:ascii="Hiragino Sans GB" w:hAnsi="Hiragino Sans GB" w:eastAsia="Hiragino Sans GB"/>
          <w:b/>
          <w:color w:val="17365D"/>
          <w:sz w:val="50"/>
        </w:rPr>
        <w:t>使用说明</w:t>
      </w:r>
    </w:p>
    <w:p>
      <w:pPr>
        <w:spacing w:before="0" w:after="360" w:line="288" w:lineRule="auto"/>
      </w:pPr>
      <w:r>
        <w:rPr>
          <w:rFonts w:ascii="Hiragino Sans GB" w:hAnsi="Hiragino Sans GB" w:eastAsia="Hiragino Sans GB"/>
          <w:b w:val="0"/>
          <w:color w:val="667085"/>
          <w:sz w:val="26"/>
        </w:rPr>
        <w:t>同一份文件中的两套口径，应在不同场景使用。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800"/>
        <w:gridCol w:w="2860"/>
        <w:gridCol w:w="280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使用对象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核心目的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表达原则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第一部分｜对外沟通版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合作方及其决策人</w:t>
            </w:r>
          </w:p>
        </w:tc>
        <w:tc>
          <w:tcPr>
            <w:tcW w:type="dxa" w:w="28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推动“联合运营”结构达成共识</w:t>
            </w:r>
          </w:p>
        </w:tc>
        <w:tc>
          <w:tcPr>
            <w:tcW w:type="dxa" w:w="28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强调资源互补、风险共担、收益共享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第二部分｜内部决策版</w:t>
            </w:r>
          </w:p>
        </w:tc>
        <w:tc>
          <w:tcPr>
            <w:tcW w:type="dxa" w:w="18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我方核心团队</w:t>
            </w:r>
          </w:p>
        </w:tc>
        <w:tc>
          <w:tcPr>
            <w:tcW w:type="dxa" w:w="28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守住底线、控制风险、指导谈判</w:t>
            </w:r>
          </w:p>
        </w:tc>
        <w:tc>
          <w:tcPr>
            <w:tcW w:type="dxa" w:w="28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明确锚点、底线、让步顺序与退出条件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0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A61B1B"/>
                <w:sz w:val="21"/>
              </w:rPr>
              <w:t xml:space="preserve">重要提醒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对外发送时，建议仅导出或复制第一部分；第二部分包含我方底牌、概率判断和谈判话术，不应向合作方披露。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文档边界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活动名称、时间、地点、票价、容量、老师确认方式等尚未完整确定，正文以“待确认”标示。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分成比例为建议区间，不代表任何一方已作承诺；最终以正式合同及附件为准。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涉及老师姓名、肖像、课程内容、录音录像等权利，须取得完整、可核验的授权链。</w:t>
      </w:r>
    </w:p>
    <w:p>
      <w:r>
        <w:br w:type="page"/>
      </w:r>
    </w:p>
    <w:p>
      <w:pPr>
        <w:spacing w:before="0" w:after="240" w:line="300" w:lineRule="auto"/>
      </w:pPr>
      <w:r>
        <w:rPr>
          <w:rFonts w:ascii="Hiragino Sans GB" w:hAnsi="Hiragino Sans GB" w:eastAsia="Hiragino Sans GB"/>
          <w:b/>
          <w:color w:val="B8872B"/>
          <w:sz w:val="19"/>
        </w:rPr>
        <w:t>PART 01 · PARTNER-FACING</w:t>
      </w:r>
    </w:p>
    <w:p>
      <w:pPr>
        <w:spacing w:before="0" w:after="140" w:line="264" w:lineRule="auto"/>
      </w:pPr>
      <w:r>
        <w:rPr>
          <w:rFonts w:ascii="Hiragino Sans GB" w:hAnsi="Hiragino Sans GB" w:eastAsia="Hiragino Sans GB"/>
          <w:b/>
          <w:color w:val="17365D"/>
          <w:sz w:val="50"/>
        </w:rPr>
        <w:t>第一部分｜联合运营合作建议书</w:t>
      </w:r>
    </w:p>
    <w:p>
      <w:pPr>
        <w:spacing w:before="0" w:after="360" w:line="288" w:lineRule="auto"/>
      </w:pPr>
      <w:r>
        <w:rPr>
          <w:rFonts w:ascii="Hiragino Sans GB" w:hAnsi="Hiragino Sans GB" w:eastAsia="Hiragino Sans GB"/>
          <w:b w:val="0"/>
          <w:color w:val="667085"/>
          <w:sz w:val="26"/>
        </w:rPr>
        <w:t>供合作方审阅｜以资源互补为基础，共同完成项目商业化与交付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B8872B"/>
                <w:sz w:val="21"/>
              </w:rPr>
              <w:t xml:space="preserve">讨论稿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请根据双方最终确认的信息补齐空白字段；正式签署前建议由律师审阅。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2E75B6"/>
                <w:sz w:val="21"/>
              </w:rPr>
              <w:t xml:space="preserve">合作定位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双方共同成立10月31日活动独立项目：合作方提供老师及内容/IP资源，我方负责商业化、组织、渠道与现场交付；双方依据资源贡献、获客来源、成本承担及履约责任进行结算。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一、合作目标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以安全、合规、专业的标准完成10月31日活动，兼顾品牌口碑与商业结果。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通过清晰分工和透明结算，让老师/IP价值与运营执行价值均得到合理回报。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以本次活动作为一期样板，成功后优先探讨后续人文、哲学及相关知识产品合作。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二、合作原则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原则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具体含义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身份对等</w:t>
            </w:r>
          </w:p>
        </w:tc>
        <w:tc>
          <w:tcPr>
            <w:tcW w:type="dxa" w:w="74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我方作为联合主办/联合运营方参与项目，不仅承担票务渠道职能。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按贡献分配</w:t>
            </w:r>
          </w:p>
        </w:tc>
        <w:tc>
          <w:tcPr>
            <w:tcW w:type="dxa" w:w="74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区分客户来源、招商来源、成本承担和实际履约，分别核算。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风险共担</w:t>
            </w:r>
          </w:p>
        </w:tc>
        <w:tc>
          <w:tcPr>
            <w:tcW w:type="dxa" w:w="74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不设置与项目确定性不匹配的大额前置买断；重大风险按约定分担。</w:t>
            </w:r>
          </w:p>
        </w:tc>
      </w:tr>
      <w:tr>
        <w:tc>
          <w:tcPr>
            <w:tcW w:type="dxa" w:w="19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数据透明</w:t>
            </w:r>
          </w:p>
        </w:tc>
        <w:tc>
          <w:tcPr>
            <w:tcW w:type="dxa" w:w="74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统一票务及对账口径，双方可查验报名、退款、赠票和渠道数据。</w:t>
            </w:r>
          </w:p>
        </w:tc>
      </w:tr>
      <w:tr>
        <w:tc>
          <w:tcPr>
            <w:tcW w:type="dxa" w:w="1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长期保护</w:t>
            </w:r>
          </w:p>
        </w:tc>
        <w:tc>
          <w:tcPr>
            <w:tcW w:type="dxa" w:w="74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明确客户、社群、企业及赞助资源的归属和保护期，避免绕单。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三、双方分工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0"/>
        <w:gridCol w:w="3500"/>
        <w:gridCol w:w="4200"/>
      </w:tblGrid>
      <w:tr>
        <w:trPr>
          <w:tblHeader w:val="true"/>
        </w:trPr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工作模块</w:t>
            </w:r>
          </w:p>
        </w:tc>
        <w:tc>
          <w:tcPr>
            <w:tcW w:type="dxa" w:w="3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合作方主要职责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我方主要职责</w:t>
            </w:r>
          </w:p>
        </w:tc>
      </w:tr>
      <w:tr>
        <w:tc>
          <w:tcPr>
            <w:tcW w:type="dxa" w:w="16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核心资源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落实老师出席；确认主题、内容边界、活动形式及授权链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根据市场反馈协助产品化、场次设计与商业包装</w:t>
            </w:r>
          </w:p>
        </w:tc>
      </w:tr>
      <w:tr>
        <w:tc>
          <w:tcPr>
            <w:tcW w:type="dxa" w:w="16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场地与制作</w:t>
            </w:r>
          </w:p>
        </w:tc>
        <w:tc>
          <w:tcPr>
            <w:tcW w:type="dxa" w:w="35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配合确认老师端要求</w:t>
            </w:r>
          </w:p>
        </w:tc>
        <w:tc>
          <w:tcPr>
            <w:tcW w:type="dxa" w:w="4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场地筛选与谈判、舞美视听、物料、供应商和现场统筹</w:t>
            </w:r>
          </w:p>
        </w:tc>
      </w:tr>
      <w:tr>
        <w:tc>
          <w:tcPr>
            <w:tcW w:type="dxa" w:w="16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营销与销售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提供可用的内容素材及自有渠道支持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营销方案、海报文案、票务、社群、企业客户及渠道管理</w:t>
            </w:r>
          </w:p>
        </w:tc>
      </w:tr>
      <w:tr>
        <w:tc>
          <w:tcPr>
            <w:tcW w:type="dxa" w:w="16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招商与商务</w:t>
            </w:r>
          </w:p>
        </w:tc>
        <w:tc>
          <w:tcPr>
            <w:tcW w:type="dxa" w:w="35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配合权益确认和必要的老师端审核</w:t>
            </w:r>
          </w:p>
        </w:tc>
        <w:tc>
          <w:tcPr>
            <w:tcW w:type="dxa" w:w="4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招商产品设计、客户开发、谈判、签约及权益交付</w:t>
            </w:r>
          </w:p>
        </w:tc>
      </w:tr>
      <w:tr>
        <w:tc>
          <w:tcPr>
            <w:tcW w:type="dxa" w:w="16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客户与现场</w:t>
            </w:r>
          </w:p>
        </w:tc>
        <w:tc>
          <w:tcPr>
            <w:tcW w:type="dxa" w:w="35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老师接待及内容环节配合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报名咨询、开票/退款协同、签到、安保、应急及复盘</w:t>
            </w:r>
          </w:p>
        </w:tc>
      </w:tr>
      <w:tr>
        <w:tc>
          <w:tcPr>
            <w:tcW w:type="dxa" w:w="16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财务与数据</w:t>
            </w:r>
          </w:p>
        </w:tc>
        <w:tc>
          <w:tcPr>
            <w:tcW w:type="dxa" w:w="35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核对对方来源订单及应结款项</w:t>
            </w:r>
          </w:p>
        </w:tc>
        <w:tc>
          <w:tcPr>
            <w:tcW w:type="dxa" w:w="4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建立统一台账，按周期出具销售、成本和结算报告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四、推荐商务结构：按来源分成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667085"/>
          <w:sz w:val="21"/>
        </w:rPr>
        <w:t>以下为用于启动谈判的建议比例。双方可结合最终成本责任、资源投入及独家程度，在区间内确认。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700"/>
        <w:gridCol w:w="1900"/>
        <w:gridCol w:w="2860"/>
      </w:tblGrid>
      <w:tr>
        <w:trPr>
          <w:tblHeader w:val="true"/>
        </w:trPr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收入来源</w:t>
            </w:r>
          </w:p>
        </w:tc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我方建议比例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合作方建议比例</w:t>
            </w:r>
          </w:p>
        </w:tc>
        <w:tc>
          <w:tcPr>
            <w:tcW w:type="dxa" w:w="2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识别口径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我方独立带来的个人报名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60%–70%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30%–40%</w:t>
            </w:r>
          </w:p>
        </w:tc>
        <w:tc>
          <w:tcPr>
            <w:tcW w:type="dxa" w:w="28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我方专属链接/二维码/邀请码及可核验线索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合作方独立带来的个人报名</w:t>
            </w:r>
          </w:p>
        </w:tc>
        <w:tc>
          <w:tcPr>
            <w:tcW w:type="dxa" w:w="17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20%–30%</w:t>
            </w:r>
          </w:p>
        </w:tc>
        <w:tc>
          <w:tcPr>
            <w:tcW w:type="dxa" w:w="1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70%–80%</w:t>
            </w:r>
          </w:p>
        </w:tc>
        <w:tc>
          <w:tcPr>
            <w:tcW w:type="dxa" w:w="28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合作方专属链接/二维码/邀请码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双方共同渠道报名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50%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50%</w:t>
            </w:r>
          </w:p>
        </w:tc>
        <w:tc>
          <w:tcPr>
            <w:tcW w:type="dxa" w:w="28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联合投放、共同活动或无法合理单独归因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我方引入的赞助</w:t>
            </w:r>
          </w:p>
        </w:tc>
        <w:tc>
          <w:tcPr>
            <w:tcW w:type="dxa" w:w="17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70%–80%</w:t>
            </w:r>
          </w:p>
        </w:tc>
        <w:tc>
          <w:tcPr>
            <w:tcW w:type="dxa" w:w="1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20%–30%</w:t>
            </w:r>
          </w:p>
        </w:tc>
        <w:tc>
          <w:tcPr>
            <w:tcW w:type="dxa" w:w="28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我方首次引荐并主导成交、交付</w:t>
            </w:r>
          </w:p>
        </w:tc>
      </w:tr>
      <w:tr>
        <w:tc>
          <w:tcPr>
            <w:tcW w:type="dxa" w:w="29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合作方引入的赞助</w:t>
            </w:r>
          </w:p>
        </w:tc>
        <w:tc>
          <w:tcPr>
            <w:tcW w:type="dxa" w:w="17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20%–30%</w:t>
            </w:r>
          </w:p>
        </w:tc>
        <w:tc>
          <w:tcPr>
            <w:tcW w:type="dxa" w:w="1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70%–80%</w:t>
            </w:r>
          </w:p>
        </w:tc>
        <w:tc>
          <w:tcPr>
            <w:tcW w:type="dxa" w:w="28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合作方首次引荐并主导成交</w:t>
            </w:r>
          </w:p>
        </w:tc>
      </w:tr>
      <w:tr>
        <w:tc>
          <w:tcPr>
            <w:tcW w:type="dxa" w:w="29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我方开发的企业/团体客户</w:t>
            </w:r>
          </w:p>
        </w:tc>
        <w:tc>
          <w:tcPr>
            <w:tcW w:type="dxa" w:w="17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60%–70%</w:t>
            </w:r>
          </w:p>
        </w:tc>
        <w:tc>
          <w:tcPr>
            <w:tcW w:type="dxa" w:w="1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30%–40%</w:t>
            </w:r>
          </w:p>
        </w:tc>
        <w:tc>
          <w:tcPr>
            <w:tcW w:type="dxa" w:w="28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我方开发、谈判并维护的组织客户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0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2E6B4F"/>
                <w:sz w:val="21"/>
              </w:rPr>
              <w:t xml:space="preserve">建议起点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我方独立开发收入以70%：30%作为谈判起点；若双方投入和配合深度达到约定标准，可落在60%：40%。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五、备选商务结构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备选A｜阶梯式票务分成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不支付10–18万元固定买断费；按活动累计票务实收收入分段计算，既保障冷启动期运营投入，也让项目成功时IP方获得更高回报。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0"/>
        <w:gridCol w:w="2280"/>
        <w:gridCol w:w="2280"/>
      </w:tblGrid>
      <w:tr>
        <w:trPr>
          <w:tblHeader w:val="true"/>
        </w:trPr>
        <w:tc>
          <w:tcPr>
            <w:tcW w:type="dxa" w:w="4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累计票务实收区间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我方比例</w:t>
            </w:r>
          </w:p>
        </w:tc>
        <w:tc>
          <w:tcPr>
            <w:tcW w:type="dxa" w:w="22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合作方比例</w:t>
            </w:r>
          </w:p>
        </w:tc>
      </w:tr>
      <w:tr>
        <w:tc>
          <w:tcPr>
            <w:tcW w:type="dxa" w:w="48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0–10万元（含）</w:t>
            </w:r>
          </w:p>
        </w:tc>
        <w:tc>
          <w:tcPr>
            <w:tcW w:type="dxa" w:w="228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70%</w:t>
            </w:r>
          </w:p>
        </w:tc>
        <w:tc>
          <w:tcPr>
            <w:tcW w:type="dxa" w:w="228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30%</w:t>
            </w:r>
          </w:p>
        </w:tc>
      </w:tr>
      <w:tr>
        <w:tc>
          <w:tcPr>
            <w:tcW w:type="dxa" w:w="48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10–30万元（含）部分</w:t>
            </w:r>
          </w:p>
        </w:tc>
        <w:tc>
          <w:tcPr>
            <w:tcW w:type="dxa" w:w="228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60%</w:t>
            </w:r>
          </w:p>
        </w:tc>
        <w:tc>
          <w:tcPr>
            <w:tcW w:type="dxa" w:w="228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40%</w:t>
            </w:r>
          </w:p>
        </w:tc>
      </w:tr>
      <w:tr>
        <w:tc>
          <w:tcPr>
            <w:tcW w:type="dxa" w:w="48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30万元以上部分</w:t>
            </w:r>
          </w:p>
        </w:tc>
        <w:tc>
          <w:tcPr>
            <w:tcW w:type="dxa" w:w="228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50%</w:t>
            </w:r>
          </w:p>
        </w:tc>
        <w:tc>
          <w:tcPr>
            <w:tcW w:type="dxa" w:w="228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50%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667085"/>
          <w:sz w:val="18"/>
        </w:rPr>
        <w:t>注：“实收收入”建议定义为已收取且超过约定退款观察期的含税/未税口径，并在合同中明确平台手续费、退款及税费的处理方式。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备选B｜小额基础保障 + 高比例分成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如合作方确需基础保障，可讨论3–5万元以内的老师/授权相关基础成本，但须与明确的交付节点、退款机制、独家权益及销售分成绑定。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触发节点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建议支付比例</w:t>
            </w:r>
          </w:p>
        </w:tc>
        <w:tc>
          <w:tcPr>
            <w:tcW w:type="dxa" w:w="5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前置条件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合同生效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不超过20%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老师书面确认、授权链及基本活动方案齐备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达到可开售条件</w:t>
            </w:r>
          </w:p>
        </w:tc>
        <w:tc>
          <w:tcPr>
            <w:tcW w:type="dxa" w:w="18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不超过30%</w:t>
            </w:r>
          </w:p>
        </w:tc>
        <w:tc>
          <w:tcPr>
            <w:tcW w:type="dxa" w:w="53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场地/票务/宣传素材通过确认，可正式售票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老师完成活动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余额50%以上</w:t>
            </w:r>
          </w:p>
        </w:tc>
        <w:tc>
          <w:tcPr>
            <w:tcW w:type="dxa" w:w="5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按约出席并完成约定内容，无重大违约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0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A61B1B"/>
                <w:sz w:val="21"/>
              </w:rPr>
              <w:t xml:space="preserve">不建议结构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由我方单独支付10–18万元固定授权费，并同时承担场地、宣传、制作、人员、退款等全部经营风险。该结构需在完整独家权利和充分历史数据支持下另行评估。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六、成本、结算与数据机制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预算先批：活动启动前由双方确认预算表，超预算支出须经双方书面确认。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成本归属清晰：按“谁提出、谁受益、谁确认”界定承担方；共同成本按约定比例分摊。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统一台账：票务、企业客户、赞助、退款、赠票、渠道费和开票信息进入同一项目台账。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定期对账：建议开售后每周对账，活动结束后10个工作日内完成初步结算。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现金流隔离：如条件允许，使用项目专用收款账户或双方均可查验的票务后台。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七、关键权利与风险条款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条款主题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建议约定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老师确认与取消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老师出席、内容和时长须书面确认；因老师端原因取消/延期，已付授权或保障款100%退还，并明确已发生不可回收成本的承担。</w:t>
            </w:r>
          </w:p>
        </w:tc>
      </w:tr>
      <w:tr>
        <w:tc>
          <w:tcPr>
            <w:tcW w:type="dxa" w:w="21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宣传授权</w:t>
            </w:r>
          </w:p>
        </w:tc>
        <w:tc>
          <w:tcPr>
            <w:tcW w:type="dxa" w:w="7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明确姓名、肖像、简介、海报、短视频、直播/录播片段的可用范围、渠道、期限及审批时限。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独家与冲突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明确活动在地域、时间、主题和渠道上的独家范围，并约定冲突活动的处理。</w:t>
            </w:r>
          </w:p>
        </w:tc>
      </w:tr>
      <w:tr>
        <w:tc>
          <w:tcPr>
            <w:tcW w:type="dxa" w:w="21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客户与数据</w:t>
            </w:r>
          </w:p>
        </w:tc>
        <w:tc>
          <w:tcPr>
            <w:tcW w:type="dxa" w:w="7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报名数据仅为本项目及经同意的后续转化使用；数据访问、保管、隐私合规及删除机制清晰。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资源保护/防绕单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各自引入的企业、赞助商及渠道设12个月保护期，未经引入方书面同意不得绕开成交。</w:t>
            </w:r>
          </w:p>
        </w:tc>
      </w:tr>
      <w:tr>
        <w:tc>
          <w:tcPr>
            <w:tcW w:type="dxa" w:w="21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社群与二次转化</w:t>
            </w:r>
          </w:p>
        </w:tc>
        <w:tc>
          <w:tcPr>
            <w:tcW w:type="dxa" w:w="7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微信群/社群管理权、后续课程推广权和收益分配另行明确，不因本次合作自动转移。</w:t>
            </w:r>
          </w:p>
        </w:tc>
      </w:tr>
      <w:tr>
        <w:tc>
          <w:tcPr>
            <w:tcW w:type="dxa" w:w="21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内容成果</w:t>
            </w:r>
          </w:p>
        </w:tc>
        <w:tc>
          <w:tcPr>
            <w:tcW w:type="dxa" w:w="7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活动照片、视频、录音、课件及剪辑内容的著作权、使用权和商业化权利分别约定。</w:t>
            </w:r>
          </w:p>
        </w:tc>
      </w:tr>
      <w:tr>
        <w:tc>
          <w:tcPr>
            <w:tcW w:type="dxa" w:w="21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安全与合规</w:t>
            </w:r>
          </w:p>
        </w:tc>
        <w:tc>
          <w:tcPr>
            <w:tcW w:type="dxa" w:w="7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场地报批、消防、安保、广告宣传、发票税务、个人信息保护等责任到人。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八、项目推进建议</w:t>
      </w:r>
    </w:p>
    <w:p>
      <w:pPr>
        <w:pStyle w:val="ListNumber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确认合作结构及各自授权代表；签署保密协议（如需）。</w:t>
      </w:r>
    </w:p>
    <w:p>
      <w:pPr>
        <w:pStyle w:val="ListNumber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合作方提供老师确认、授权链、历史活动数据及老师端要求。</w:t>
      </w:r>
    </w:p>
    <w:p>
      <w:pPr>
        <w:pStyle w:val="ListNumber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我方提交场地、票价、营销、招商、预算与执行初稿。</w:t>
      </w:r>
    </w:p>
    <w:p>
      <w:pPr>
        <w:pStyle w:val="ListNumber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双方确认收入归因规则、成本预算、数据后台和结算机制。</w:t>
      </w:r>
    </w:p>
    <w:p>
      <w:pPr>
        <w:pStyle w:val="ListNumber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签署正式合作协议及附件，达到“可开售条件”后统一对外发布。</w:t>
      </w:r>
    </w:p>
    <w:p>
      <w:pPr>
        <w:pStyle w:val="ListNumber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按周复盘销售和风险；活动结束后完成结算及二期合作评估。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九、需双方确认的开放事项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待确认内容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活动基础信息</w:t>
            </w:r>
          </w:p>
        </w:tc>
        <w:tc>
          <w:tcPr>
            <w:tcW w:type="dxa" w:w="70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正式名称、日期/时段、城市、场地、容量、形式、主题、时长</w:t>
            </w:r>
          </w:p>
        </w:tc>
      </w:tr>
      <w:tr>
        <w:tc>
          <w:tcPr>
            <w:tcW w:type="dxa" w:w="23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票务</w:t>
            </w:r>
          </w:p>
        </w:tc>
        <w:tc>
          <w:tcPr>
            <w:tcW w:type="dxa" w:w="70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票档、赠票上限、早鸟/团购规则、退改政策、开票主体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IP与内容</w:t>
            </w:r>
          </w:p>
        </w:tc>
        <w:tc>
          <w:tcPr>
            <w:tcW w:type="dxa" w:w="70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老师确认文件、授权主体、宣传素材、审核流程、录音录像权限</w:t>
            </w:r>
          </w:p>
        </w:tc>
      </w:tr>
      <w:tr>
        <w:tc>
          <w:tcPr>
            <w:tcW w:type="dxa" w:w="23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商务</w:t>
            </w:r>
          </w:p>
        </w:tc>
        <w:tc>
          <w:tcPr>
            <w:tcW w:type="dxa" w:w="70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最终分成、税费口径、成本分担、回款节点、独家范围</w:t>
            </w:r>
          </w:p>
        </w:tc>
      </w:tr>
      <w:tr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运营</w:t>
            </w:r>
          </w:p>
        </w:tc>
        <w:tc>
          <w:tcPr>
            <w:tcW w:type="dxa" w:w="70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项目负责人、审批时限、重大事项决策机制、应急预案</w:t>
            </w:r>
          </w:p>
        </w:tc>
      </w:tr>
      <w:tr>
        <w:tc>
          <w:tcPr>
            <w:tcW w:type="dxa" w:w="23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长期合作</w:t>
            </w:r>
          </w:p>
        </w:tc>
        <w:tc>
          <w:tcPr>
            <w:tcW w:type="dxa" w:w="70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后续课程优先合作权、客户二次转化及收益安排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2E75B6"/>
                <w:sz w:val="21"/>
              </w:rPr>
              <w:t xml:space="preserve">下一步建议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双方先用一次60–90分钟工作会议确认合作结构和开放事项，再由双方指定负责人将共识转化为正式合同与项目排期。</w:t>
            </w:r>
          </w:p>
        </w:tc>
      </w:tr>
    </w:tbl>
    <w:p>
      <w:pPr>
        <w:spacing w:before="0" w:after="80" w:line="300" w:lineRule="auto"/>
      </w:pPr>
    </w:p>
    <w:p>
      <w:pPr>
        <w:sectPr>
          <w:headerReference w:type="default" r:id="rId9"/>
          <w:footerReference w:type="default" r:id="rId10"/>
          <w:pgSz w:w="12240" w:h="15840"/>
          <w:pgMar w:top="1181" w:right="1440" w:bottom="1123" w:left="1440" w:header="504" w:footer="504" w:gutter="0"/>
          <w:cols w:space="720"/>
          <w:docGrid w:linePitch="360"/>
        </w:sectPr>
      </w:pPr>
    </w:p>
    <w:p>
      <w:pPr>
        <w:spacing w:before="0" w:after="240" w:line="300" w:lineRule="auto"/>
      </w:pPr>
      <w:r>
        <w:rPr>
          <w:rFonts w:ascii="Hiragino Sans GB" w:hAnsi="Hiragino Sans GB" w:eastAsia="Hiragino Sans GB"/>
          <w:b/>
          <w:color w:val="B8872B"/>
          <w:sz w:val="19"/>
        </w:rPr>
        <w:t>PART 02 · INTERNAL ONLY</w:t>
      </w:r>
    </w:p>
    <w:p>
      <w:pPr>
        <w:spacing w:before="0" w:after="140" w:line="264" w:lineRule="auto"/>
      </w:pPr>
      <w:r>
        <w:rPr>
          <w:rFonts w:ascii="Hiragino Sans GB" w:hAnsi="Hiragino Sans GB" w:eastAsia="Hiragino Sans GB"/>
          <w:b/>
          <w:color w:val="17365D"/>
          <w:sz w:val="50"/>
        </w:rPr>
        <w:t>第二部分｜我方谈判与决策手册</w:t>
      </w:r>
    </w:p>
    <w:p>
      <w:pPr>
        <w:spacing w:before="0" w:after="360" w:line="288" w:lineRule="auto"/>
      </w:pPr>
      <w:r>
        <w:rPr>
          <w:rFonts w:ascii="Hiragino Sans GB" w:hAnsi="Hiragino Sans GB" w:eastAsia="Hiragino Sans GB"/>
          <w:b w:val="0"/>
          <w:color w:val="667085"/>
          <w:sz w:val="26"/>
        </w:rPr>
        <w:t>仅供内部使用｜底线、测算、风险与应对口径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B8872B"/>
                <w:sz w:val="21"/>
              </w:rPr>
              <w:t xml:space="preserve">严格保密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请根据双方最终确认的信息补齐空白字段；正式签署前建议由律师审阅。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0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A61B1B"/>
                <w:sz w:val="21"/>
              </w:rPr>
              <w:t xml:space="preserve">内部结论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当前信息下，不接受10–18万元无条件买断。优先争取“联合运营 + 按来源分成”；次选“小额保障 + 高比例分成”；仅在权利完整、数据充分且下行情景可承受时评估买断。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一、我方目标与身份定义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/>
          <w:color w:val="17365D"/>
          <w:sz w:val="21"/>
        </w:rPr>
        <w:t>核心身份：</w:t>
      </w:r>
      <w:r>
        <w:rPr>
          <w:rFonts w:ascii="Hiragino Sans GB" w:hAnsi="Hiragino Sans GB" w:eastAsia="Hiragino Sans GB"/>
          <w:b/>
          <w:color w:val="A61B1B"/>
          <w:sz w:val="21"/>
        </w:rPr>
        <w:t>我方不是票务渠道，而是联合运营方。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把“老师资源”与“资源商业化所需的完整执行”分开定价，避免运营价值被压缩成20%渠道佣金。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把本次活动作为独立项目核算，防止合作方将本项目团队、客户、社群与供应链无偿迁移至其他课程。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优先取得可验证的数据和权利，再承诺成本与回款责任。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二、谈判锚点、目标与底线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000"/>
        <w:gridCol w:w="2760"/>
        <w:gridCol w:w="240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2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开价/锚点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目标成交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内部底线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我方独立报名</w:t>
            </w:r>
          </w:p>
        </w:tc>
        <w:tc>
          <w:tcPr>
            <w:tcW w:type="dxa" w:w="20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我方70%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我方60%–70%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不低于50%*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我方赞助</w:t>
            </w:r>
          </w:p>
        </w:tc>
        <w:tc>
          <w:tcPr>
            <w:tcW w:type="dxa" w:w="20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我方80%</w:t>
            </w:r>
          </w:p>
        </w:tc>
        <w:tc>
          <w:tcPr>
            <w:tcW w:type="dxa" w:w="2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我方70%–80%</w:t>
            </w:r>
          </w:p>
        </w:tc>
        <w:tc>
          <w:tcPr>
            <w:tcW w:type="dxa" w:w="2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不低于60%*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我方企业/团体客户</w:t>
            </w:r>
          </w:p>
        </w:tc>
        <w:tc>
          <w:tcPr>
            <w:tcW w:type="dxa" w:w="20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我方70%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我方60%–70%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不低于50%*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共同渠道</w:t>
            </w:r>
          </w:p>
        </w:tc>
        <w:tc>
          <w:tcPr>
            <w:tcW w:type="dxa" w:w="20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我方50%</w:t>
            </w:r>
          </w:p>
        </w:tc>
        <w:tc>
          <w:tcPr>
            <w:tcW w:type="dxa" w:w="2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50%：50%</w:t>
            </w:r>
          </w:p>
        </w:tc>
        <w:tc>
          <w:tcPr>
            <w:tcW w:type="dxa" w:w="2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视成本责任调整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固定买断/保障</w:t>
            </w:r>
          </w:p>
        </w:tc>
        <w:tc>
          <w:tcPr>
            <w:tcW w:type="dxa" w:w="20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0元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0元；必要时3–5万元以内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不得无条件、一次性支付</w:t>
            </w:r>
          </w:p>
        </w:tc>
      </w:tr>
      <w:tr>
        <w:tc>
          <w:tcPr>
            <w:tcW w:type="dxa" w:w="2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客户/资源保护期</w:t>
            </w:r>
          </w:p>
        </w:tc>
        <w:tc>
          <w:tcPr>
            <w:tcW w:type="dxa" w:w="20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18个月</w:t>
            </w:r>
          </w:p>
        </w:tc>
        <w:tc>
          <w:tcPr>
            <w:tcW w:type="dxa" w:w="2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12个月</w:t>
            </w:r>
          </w:p>
        </w:tc>
        <w:tc>
          <w:tcPr>
            <w:tcW w:type="dxa" w:w="2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不少于6个月</w:t>
            </w:r>
          </w:p>
        </w:tc>
      </w:tr>
      <w:tr>
        <w:tc>
          <w:tcPr>
            <w:tcW w:type="dxa" w:w="2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7"/>
              </w:rPr>
              <w:t>老师取消退款</w:t>
            </w:r>
          </w:p>
        </w:tc>
        <w:tc>
          <w:tcPr>
            <w:tcW w:type="dxa" w:w="20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全部退款+承担不可回收成本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全部退款+约定成本补偿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授权/保障款100%退还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A61B1B"/>
          <w:sz w:val="18"/>
        </w:rPr>
        <w:t>* 若对方要求触碰比例底线，必须换取明确对价，例如对方承担场地/投放、提供保底客户、授予更强独家权利或降低我方履约范围。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三、方案排序与决策门槛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760"/>
        <w:gridCol w:w="1400"/>
        <w:gridCol w:w="4200"/>
      </w:tblGrid>
      <w:tr>
        <w:trPr>
          <w:tblHeader w:val="true"/>
        </w:trPr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结构</w:t>
            </w:r>
          </w:p>
        </w:tc>
        <w:tc>
          <w:tcPr>
            <w:tcW w:type="dxa" w:w="1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我方判断</w:t>
            </w:r>
          </w:p>
        </w:tc>
        <w:tc>
          <w:tcPr>
            <w:tcW w:type="dxa" w:w="4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进入条件</w:t>
            </w:r>
          </w:p>
        </w:tc>
      </w:tr>
      <w:tr>
        <w:tc>
          <w:tcPr>
            <w:tcW w:type="dxa" w:w="10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1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联合运营 + 按来源分成</w:t>
            </w:r>
          </w:p>
        </w:tc>
        <w:tc>
          <w:tcPr>
            <w:tcW w:type="dxa" w:w="1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首选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收入归因、成本、数据、IP授权和取消责任均可落合同</w:t>
            </w:r>
          </w:p>
        </w:tc>
      </w:tr>
      <w:tr>
        <w:tc>
          <w:tcPr>
            <w:tcW w:type="dxa" w:w="10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2</w:t>
            </w:r>
          </w:p>
        </w:tc>
        <w:tc>
          <w:tcPr>
            <w:tcW w:type="dxa" w:w="2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3–5万元以内保障 + 高比例分成</w:t>
            </w:r>
          </w:p>
        </w:tc>
        <w:tc>
          <w:tcPr>
            <w:tcW w:type="dxa" w:w="1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可谈</w:t>
            </w:r>
          </w:p>
        </w:tc>
        <w:tc>
          <w:tcPr>
            <w:tcW w:type="dxa" w:w="4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分期付款、绑定里程碑、取消全退、获得独家及清晰商业权利</w:t>
            </w:r>
          </w:p>
        </w:tc>
      </w:tr>
      <w:tr>
        <w:tc>
          <w:tcPr>
            <w:tcW w:type="dxa" w:w="10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8"/>
              </w:rPr>
              <w:t>3</w:t>
            </w:r>
          </w:p>
        </w:tc>
        <w:tc>
          <w:tcPr>
            <w:tcW w:type="dxa" w:w="2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10–18万元买断</w:t>
            </w:r>
          </w:p>
        </w:tc>
        <w:tc>
          <w:tcPr>
            <w:tcW w:type="dxa" w:w="1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原则上不接</w:t>
            </w:r>
          </w:p>
        </w:tc>
        <w:tc>
          <w:tcPr>
            <w:tcW w:type="dxa" w:w="4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完整独家权利；老师书面确认；历史数据可信；压力测试通过；损失可承受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四、买断方案必须先拿到的资料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老师确定出席的书面确认，以及授权方有权对外合作的证明。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活动主题、内容、形式、时长、互动、签售等交付清单。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可售座位、票价体系、场地限制和老师端接待要求。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过去同类型商业活动的实际售票、到场、退款和赠票数据（不只看宣传口径）。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姓名、肖像、声音、活动片段及内容素材的宣传与商业使用权。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票务、招商、企业客户和城市/时间/主题范围的独家权利。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取消、延期、不可抗力、舆情及违约的退款和赔偿机制。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收款、开票、税费、平台手续费与退款损失的承担口径。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1F0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A61B1B"/>
                <w:sz w:val="21"/>
              </w:rPr>
              <w:t xml:space="preserve">一票否决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老师出席无书面确认、取消不全退、授权链不清、数据拒绝查验、客户归因无法核验、要求我方承担全部不可控风险——任一项出现，停止买断谈判。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五、内部财务测算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先用“现金保本点”判断项目是否值得做，再看利润。以下仅为示例，实际谈判前必须替换为真实预算。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2400"/>
        <w:gridCol w:w="3360"/>
      </w:tblGrid>
      <w:tr>
        <w:trPr>
          <w:tblHeader w:val="true"/>
        </w:trP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示例金额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填写实际值</w:t>
            </w:r>
          </w:p>
        </w:tc>
      </w:tr>
      <w:tr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固定授权/保障费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150,000元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________元</w:t>
            </w:r>
          </w:p>
        </w:tc>
      </w:tr>
      <w:tr>
        <w:tc>
          <w:tcPr>
            <w:tcW w:type="dxa" w:w="3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场地及基础设备</w:t>
            </w:r>
          </w:p>
        </w:tc>
        <w:tc>
          <w:tcPr>
            <w:tcW w:type="dxa" w:w="2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50,000元</w:t>
            </w:r>
          </w:p>
        </w:tc>
        <w:tc>
          <w:tcPr>
            <w:tcW w:type="dxa" w:w="33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________元</w:t>
            </w:r>
          </w:p>
        </w:tc>
      </w:tr>
      <w:tr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宣传、制作与人员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50,000元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________元</w:t>
            </w:r>
          </w:p>
        </w:tc>
      </w:tr>
      <w:tr>
        <w:tc>
          <w:tcPr>
            <w:tcW w:type="dxa" w:w="3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直接现金投入合计</w:t>
            </w:r>
          </w:p>
        </w:tc>
        <w:tc>
          <w:tcPr>
            <w:tcW w:type="dxa" w:w="2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250,000元</w:t>
            </w:r>
          </w:p>
        </w:tc>
        <w:tc>
          <w:tcPr>
            <w:tcW w:type="dxa" w:w="33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________元</w:t>
            </w:r>
          </w:p>
        </w:tc>
      </w:tr>
      <w:tr>
        <w:tc>
          <w:tcPr>
            <w:tcW w:type="dxa" w:w="3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平均实收客单价</w:t>
            </w:r>
          </w:p>
        </w:tc>
        <w:tc>
          <w:tcPr>
            <w:tcW w:type="dxa" w:w="24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699元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________元</w:t>
            </w:r>
          </w:p>
        </w:tc>
      </w:tr>
      <w:tr>
        <w:tc>
          <w:tcPr>
            <w:tcW w:type="dxa" w:w="3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变动费率（平台/支付/渠道等）</w:t>
            </w:r>
          </w:p>
        </w:tc>
        <w:tc>
          <w:tcPr>
            <w:tcW w:type="dxa" w:w="24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暂未计入</w:t>
            </w:r>
          </w:p>
        </w:tc>
        <w:tc>
          <w:tcPr>
            <w:tcW w:type="dxa" w:w="33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t>________%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B8872B"/>
                <w:sz w:val="21"/>
              </w:rPr>
              <w:t xml:space="preserve">示例保本点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未计税费、平台佣金、退款、赠票和变动成本时：250,000 ÷ 699 ≈ 358名付费用户。加入变动费率与退款后，实际保本人数将更高。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建议公式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现金保本人数 = 固定现金成本 ÷ [平均实收客单价 ×（1 − 变动费率 − 退款损失率）]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项目利润 = 票务实收 + 赞助实收 + 企业客户实收 − 固定成本 − 变动成本 − 税费 − 退款/赔付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三情景压力测试（待填）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800"/>
        <w:gridCol w:w="1600"/>
        <w:gridCol w:w="1600"/>
        <w:gridCol w:w="1560"/>
      </w:tblGrid>
      <w:tr>
        <w:trPr>
          <w:tblHeader w:val="true"/>
        </w:trPr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情景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付费人数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平均实收客单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其他收入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总成本</w:t>
            </w:r>
          </w:p>
        </w:tc>
        <w:tc>
          <w:tcPr>
            <w:tcW w:type="dxa" w:w="1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预计利润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下行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56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</w:tr>
      <w:tr>
        <w:tc>
          <w:tcPr>
            <w:tcW w:type="dxa" w:w="13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基准</w:t>
            </w:r>
          </w:p>
        </w:tc>
        <w:tc>
          <w:tcPr>
            <w:tcW w:type="dxa" w:w="15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</w:t>
            </w:r>
          </w:p>
        </w:tc>
        <w:tc>
          <w:tcPr>
            <w:tcW w:type="dxa" w:w="18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6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6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56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</w:tr>
      <w:tr>
        <w:tc>
          <w:tcPr>
            <w:tcW w:type="dxa" w:w="1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上行</w:t>
            </w:r>
          </w:p>
        </w:tc>
        <w:tc>
          <w:tcPr>
            <w:tcW w:type="dxa" w:w="15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</w:t>
            </w:r>
          </w:p>
        </w:tc>
        <w:tc>
          <w:tcPr>
            <w:tcW w:type="dxa" w:w="18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6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  <w:tc>
          <w:tcPr>
            <w:tcW w:type="dxa" w:w="156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____元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/>
          <w:color w:val="A61B1B"/>
          <w:sz w:val="19"/>
        </w:rPr>
        <w:t>内部决策规则：若下行情景的最大现金损失不可承受，或基准情景仍无法覆盖团队机会成本，则不做买断。</w:t>
      </w: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六、谈判顺序与让步策略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300"/>
        <w:gridCol w:w="3360"/>
        <w:gridCol w:w="2450"/>
      </w:tblGrid>
      <w:tr>
        <w:trPr>
          <w:tblHeader w:val="true"/>
        </w:trPr>
        <w:tc>
          <w:tcPr>
            <w:tcW w:type="dxa" w:w="1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轮次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先谈什么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我方动作</w:t>
            </w:r>
          </w:p>
        </w:tc>
        <w:tc>
          <w:tcPr>
            <w:tcW w:type="dxa" w:w="24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不得提前暴露</w:t>
            </w:r>
          </w:p>
        </w:tc>
      </w:tr>
      <w:tr>
        <w:tc>
          <w:tcPr>
            <w:tcW w:type="dxa" w:w="125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1｜定身份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联合运营而非渠道代理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先确认分工和价值，再谈比例</w:t>
            </w:r>
          </w:p>
        </w:tc>
        <w:tc>
          <w:tcPr>
            <w:tcW w:type="dxa" w:w="245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50%底线、最高可付保障款</w:t>
            </w:r>
          </w:p>
        </w:tc>
      </w:tr>
      <w:tr>
        <w:tc>
          <w:tcPr>
            <w:tcW w:type="dxa" w:w="125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2｜定口径</w:t>
            </w:r>
          </w:p>
        </w:tc>
        <w:tc>
          <w:tcPr>
            <w:tcW w:type="dxa" w:w="23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收入来源、成本、数据、履约</w:t>
            </w:r>
          </w:p>
        </w:tc>
        <w:tc>
          <w:tcPr>
            <w:tcW w:type="dxa" w:w="33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把模糊“利润/流水分成”拆成可核验规则</w:t>
            </w:r>
          </w:p>
        </w:tc>
        <w:tc>
          <w:tcPr>
            <w:tcW w:type="dxa" w:w="245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对单项资源的最高估值</w:t>
            </w:r>
          </w:p>
        </w:tc>
      </w:tr>
      <w:tr>
        <w:tc>
          <w:tcPr>
            <w:tcW w:type="dxa" w:w="125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3｜报锚点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我方客户70%、我方赞助80%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说明比例覆盖获客、运营、场地、商务与风险</w:t>
            </w:r>
          </w:p>
        </w:tc>
        <w:tc>
          <w:tcPr>
            <w:tcW w:type="dxa" w:w="245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可接受的最终区间</w:t>
            </w:r>
          </w:p>
        </w:tc>
      </w:tr>
      <w:tr>
        <w:tc>
          <w:tcPr>
            <w:tcW w:type="dxa" w:w="125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4｜做交换</w:t>
            </w:r>
          </w:p>
        </w:tc>
        <w:tc>
          <w:tcPr>
            <w:tcW w:type="dxa" w:w="23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比例、保障、独家、成本责任联动</w:t>
            </w:r>
          </w:p>
        </w:tc>
        <w:tc>
          <w:tcPr>
            <w:tcW w:type="dxa" w:w="33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每次让步都换取一项明确对价</w:t>
            </w:r>
          </w:p>
        </w:tc>
        <w:tc>
          <w:tcPr>
            <w:tcW w:type="dxa" w:w="245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不能无条件降点</w:t>
            </w:r>
          </w:p>
        </w:tc>
      </w:tr>
      <w:tr>
        <w:tc>
          <w:tcPr>
            <w:tcW w:type="dxa" w:w="125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5｜锁条款</w:t>
            </w:r>
          </w:p>
        </w:tc>
        <w:tc>
          <w:tcPr>
            <w:tcW w:type="dxa" w:w="23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授权、取消、数据、保护期、结算</w:t>
            </w:r>
          </w:p>
        </w:tc>
        <w:tc>
          <w:tcPr>
            <w:tcW w:type="dxa" w:w="33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把口头共识写入合同附件</w:t>
            </w:r>
          </w:p>
        </w:tc>
        <w:tc>
          <w:tcPr>
            <w:tcW w:type="dxa" w:w="245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7"/>
              </w:rPr>
              <w:t>未签前不投入重大不可回收成本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可交换筹码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比例让步 ↔ 对方承担固定成本或提供销售保底。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小额保障 ↔ 分期里程碑 + 取消全退 + 完整独家商业权利。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更长合作期 ↔ 我方取得后续项目优先运营权和客户二次转化收益。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202124"/>
          <w:sz w:val="21"/>
        </w:rPr>
        <w:t>缩短资源保护期 ↔ 明确客户名单备案、违约金及成交举证机制。</w:t>
      </w:r>
    </w:p>
    <w:p>
      <w:pPr>
        <w:pStyle w:val="Heading2"/>
        <w:keepNext/>
      </w:pPr>
      <w:r>
        <w:rPr>
          <w:rFonts w:ascii="Hiragino Sans GB" w:hAnsi="Hiragino Sans GB" w:eastAsia="Hiragino Sans GB"/>
          <w:b/>
          <w:color w:val="2E75B6"/>
          <w:sz w:val="26"/>
        </w:rPr>
        <w:t>建议开场话术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2E75B6"/>
                <w:sz w:val="21"/>
              </w:rPr>
              <w:t xml:space="preserve">我方口径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我们认可老师和内容资源的核心价值。与此同时，本项目从资源到收入还需要场地、产品设计、营销、票务、企业客户、招商、客服和现场交付。我们希望以联合运营方身份合作，按客户来源、成本和履约责任结算，这样双方的投入与回报都更匹配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七、常见异议与回应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对方可能说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建议回应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“老师资源最核心，所以你们只能拿20%。”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如果仅承担转发售票，20%可讨论；但我方承担完整商业化和交付，就应按联合运营计价。可以把不同来源订单拆开，各自资源各自获得更高比例。</w:t>
            </w:r>
          </w:p>
        </w:tc>
      </w:tr>
      <w:tr>
        <w:tc>
          <w:tcPr>
            <w:tcW w:type="dxa" w:w="2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“必须先付10–18万元，行业都这样。”</w:t>
            </w:r>
          </w:p>
        </w:tc>
        <w:tc>
          <w:tcPr>
            <w:tcW w:type="dxa" w:w="6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可以理解保障诉求，但金额必须建立在可核验数据、完整授权和风险对等基础上。我们优先用阶梯分成；如需保障，可小额、分期并绑定里程碑。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“利润五五分最公平。”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利润口径容易因成本认定产生争议。建议先定义各类收入和直接成本，再对共同渠道或共同利润池分配。</w:t>
            </w:r>
          </w:p>
        </w:tc>
      </w:tr>
      <w:tr>
        <w:tc>
          <w:tcPr>
            <w:tcW w:type="dxa" w:w="2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“客户数据都归项目/老师方。”</w:t>
            </w:r>
          </w:p>
        </w:tc>
        <w:tc>
          <w:tcPr>
            <w:tcW w:type="dxa" w:w="6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项目履约所需数据可以共享，但各自引入的客户与企业资源应保留归属和保护期；二次营销需另行获得授权并分配收益。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“先做起来，合同后面再补。”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可以并行准备，但在老师确认、授权、取消退款、数据和结算机制签署前，不进入正式售票和重大不可回收支出。</w:t>
            </w:r>
          </w:p>
        </w:tc>
      </w:tr>
      <w:tr>
        <w:tc>
          <w:tcPr>
            <w:tcW w:type="dxa" w:w="2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“给你们60%太高。”</w:t>
            </w:r>
          </w:p>
        </w:tc>
        <w:tc>
          <w:tcPr>
            <w:tcW w:type="dxa" w:w="6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60%覆盖的不只是获客佣金，还包括项目管理、商务、场地、客户服务、现场交付及风险。如对方承担其中一部分，可对应调整比例。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八、合同红线清单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老师出席及授权主体没有书面、可核验文件。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老师方原因取消/延期，授权或保障款不能100%退回。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我方承担全部成本，但对重大预算、票价、宣传和现场方案没有决策权。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收入、退款、赠票和渠道数据不可查验，或对方单方掌握结算口径。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“利润”未定义，成本可由对方单方列支或关联方定价。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客户、社群、赞助商和企业资源自动归对方，且无防绕单条款。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老师姓名、肖像、内容素材的使用范围不清，却要求我方承担宣传合规责任。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对方可以随时终止合作，但我方已发生的不可回收支出无人承担。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独家义务只约束我方，不限制对方同期授权竞争活动。</w:t>
      </w:r>
    </w:p>
    <w:p>
      <w:pPr>
        <w:pStyle w:val="ListBullet"/>
        <w:spacing w:after="80" w:line="288" w:lineRule="auto"/>
      </w:pPr>
      <w:r>
        <w:rPr>
          <w:rFonts w:ascii="Hiragino Sans GB" w:hAnsi="Hiragino Sans GB" w:eastAsia="Hiragino Sans GB"/>
          <w:b w:val="0"/>
          <w:color w:val="A61B1B"/>
          <w:sz w:val="21"/>
        </w:rPr>
        <w:t>违约责任明显不对等，或争议解决地、管辖、证据规则对我方极端不利。</w:t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九、签约前检查表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0"/>
        <w:gridCol w:w="900"/>
        <w:gridCol w:w="3260"/>
      </w:tblGrid>
      <w:tr>
        <w:trPr>
          <w:tblHeader w:val="true"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责任人/备注</w:t>
            </w:r>
          </w:p>
        </w:tc>
      </w:tr>
      <w:tr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老师书面确认及完整授权链</w:t>
            </w:r>
          </w:p>
        </w:tc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主题、时长、形式与交付清单</w:t>
            </w:r>
          </w:p>
        </w:tc>
        <w:tc>
          <w:tcPr>
            <w:tcW w:type="dxa" w:w="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场地容量、成本与取消政策</w:t>
            </w:r>
          </w:p>
        </w:tc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票价、票档、赠票和退改规则</w:t>
            </w:r>
          </w:p>
        </w:tc>
        <w:tc>
          <w:tcPr>
            <w:tcW w:type="dxa" w:w="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收入归因、统一台账与数据权限</w:t>
            </w:r>
          </w:p>
        </w:tc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预算、超支审批与成本分担</w:t>
            </w:r>
          </w:p>
        </w:tc>
        <w:tc>
          <w:tcPr>
            <w:tcW w:type="dxa" w:w="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宣传素材权利及审批时限</w:t>
            </w:r>
          </w:p>
        </w:tc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客户/赞助资源保护及防绕单</w:t>
            </w:r>
          </w:p>
        </w:tc>
        <w:tc>
          <w:tcPr>
            <w:tcW w:type="dxa" w:w="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取消、延期、不可抗力与赔偿</w:t>
            </w:r>
          </w:p>
        </w:tc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开票、税费、结算周期与付款节点</w:t>
            </w:r>
          </w:p>
        </w:tc>
        <w:tc>
          <w:tcPr>
            <w:tcW w:type="dxa" w:w="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保险、安保、消防、隐私及应急</w:t>
            </w:r>
          </w:p>
        </w:tc>
        <w:tc>
          <w:tcPr>
            <w:tcW w:type="dxa" w:w="900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  <w:tr>
        <w:tc>
          <w:tcPr>
            <w:tcW w:type="dxa" w:w="52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律师完成合同审阅</w:t>
            </w:r>
          </w:p>
        </w:tc>
        <w:tc>
          <w:tcPr>
            <w:tcW w:type="dxa" w:w="900"/>
            <w:shd w:fill="F4F6F8"/>
          </w:tcPr>
          <w:p>
            <w:pPr>
              <w:spacing w:after="0" w:line="276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  <w:t>□</w:t>
            </w:r>
          </w:p>
        </w:tc>
        <w:tc>
          <w:tcPr>
            <w:tcW w:type="dxa" w:w="32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8"/>
              </w:rPr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pStyle w:val="Heading1"/>
        <w:keepNext/>
      </w:pPr>
      <w:r>
        <w:rPr>
          <w:rFonts w:ascii="Hiragino Sans GB" w:hAnsi="Hiragino Sans GB" w:eastAsia="Hiragino Sans GB"/>
          <w:b/>
          <w:color w:val="17365D"/>
          <w:sz w:val="32"/>
        </w:rPr>
        <w:t>十、内部会议记录页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65D"/>
          </w:tcPr>
          <w:p>
            <w:pPr>
              <w:spacing w:after="0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记录</w:t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对方真实诉求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  <w:br/>
            </w:r>
          </w:p>
        </w:tc>
      </w:tr>
      <w:tr>
        <w:tc>
          <w:tcPr>
            <w:tcW w:type="dxa" w:w="2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对方可决策人</w:t>
            </w:r>
          </w:p>
        </w:tc>
        <w:tc>
          <w:tcPr>
            <w:tcW w:type="dxa" w:w="6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对方认可的我方价值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  <w:br/>
            </w:r>
          </w:p>
        </w:tc>
      </w:tr>
      <w:tr>
        <w:tc>
          <w:tcPr>
            <w:tcW w:type="dxa" w:w="2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主要分歧</w:t>
            </w:r>
          </w:p>
        </w:tc>
        <w:tc>
          <w:tcPr>
            <w:tcW w:type="dxa" w:w="6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  <w:br/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我方本轮让步与换回的对价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  <w:br/>
            </w:r>
          </w:p>
        </w:tc>
      </w:tr>
      <w:tr>
        <w:tc>
          <w:tcPr>
            <w:tcW w:type="dxa" w:w="260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待补材料/负责人/截止日</w:t>
            </w:r>
          </w:p>
        </w:tc>
        <w:tc>
          <w:tcPr>
            <w:tcW w:type="dxa" w:w="6760"/>
            <w:shd w:fill="F4F6F8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  <w:br/>
            </w:r>
          </w:p>
        </w:tc>
      </w:tr>
      <w:tr>
        <w:tc>
          <w:tcPr>
            <w:tcW w:type="dxa" w:w="260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/>
                <w:color w:val="202124"/>
                <w:sz w:val="19"/>
              </w:rPr>
              <w:t>下一步及退出触发条件</w:t>
            </w:r>
          </w:p>
        </w:tc>
        <w:tc>
          <w:tcPr>
            <w:tcW w:type="dxa" w:w="6760"/>
          </w:tcPr>
          <w:p>
            <w:pPr>
              <w:spacing w:after="0" w:line="276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202124"/>
                <w:sz w:val="19"/>
              </w:rPr>
              <w:br/>
              <w:br/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6"/>
          </w:tcPr>
          <w:p>
            <w:pPr>
              <w:spacing w:after="40" w:line="293" w:lineRule="auto"/>
            </w:pPr>
            <w:r>
              <w:rPr>
                <w:rFonts w:ascii="Hiragino Sans GB" w:hAnsi="Hiragino Sans GB" w:eastAsia="Hiragino Sans GB"/>
                <w:b/>
                <w:color w:val="B8872B"/>
                <w:sz w:val="21"/>
              </w:rPr>
              <w:t xml:space="preserve">最终内部原则  </w:t>
            </w:r>
            <w:r>
              <w:rPr>
                <w:rFonts w:ascii="Hiragino Sans GB" w:hAnsi="Hiragino Sans GB" w:eastAsia="Hiragino Sans GB"/>
                <w:b w:val="0"/>
                <w:color w:val="202124"/>
                <w:sz w:val="21"/>
              </w:rPr>
              <w:t>先验证权利与数据，再投入现金；先锁定身份与结算口径，再谈比例；每次让步必须换取对价；任何重大支出都应有可执行的退出与退款机制。</w:t>
            </w:r>
          </w:p>
        </w:tc>
      </w:tr>
    </w:tbl>
    <w:p>
      <w:pPr>
        <w:spacing w:before="0" w:after="80" w:line="300" w:lineRule="auto"/>
      </w:pPr>
    </w:p>
    <w:p>
      <w:pPr>
        <w:spacing w:before="280" w:after="0" w:line="300" w:lineRule="auto"/>
      </w:pPr>
      <w:r>
        <w:rPr>
          <w:rFonts w:ascii="Hiragino Sans GB" w:hAnsi="Hiragino Sans GB" w:eastAsia="Hiragino Sans GB"/>
          <w:b w:val="0"/>
          <w:color w:val="667085"/>
          <w:sz w:val="17"/>
        </w:rPr>
        <w:t>免责声明：本材料用于商业谈判与内部决策，不构成法律、税务或投资意见。正式签署前应由专业律师、财税顾问结合交易主体及所在地法规审阅。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181" w:right="1440" w:bottom="1123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667085"/>
        <w:sz w:val="17"/>
      </w:rPr>
      <w:t xml:space="preserve">第 </w:t>
    </w:r>
    <w:fldSimple w:instr="PAGE"/>
    <w:r>
      <w:rPr>
        <w:rFonts w:ascii="Hiragino Sans GB" w:hAnsi="Hiragino Sans GB" w:eastAsia="Hiragino Sans GB"/>
        <w:b w:val="0"/>
        <w:color w:val="667085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667085"/>
        <w:sz w:val="17"/>
      </w:rPr>
      <w:t xml:space="preserve">第 </w:t>
    </w:r>
    <w:fldSimple w:instr="PAGE"/>
    <w:r>
      <w:rPr>
        <w:rFonts w:ascii="Hiragino Sans GB" w:hAnsi="Hiragino Sans GB" w:eastAsia="Hiragino Sans GB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Hiragino Sans GB" w:hAnsi="Hiragino Sans GB" w:eastAsia="Hiragino Sans GB"/>
        <w:b/>
        <w:color w:val="667085"/>
        <w:sz w:val="17"/>
      </w:rPr>
      <w:t>10月31日活动合作方案</w:t>
    </w:r>
    <w:r>
      <w:rPr>
        <w:rFonts w:ascii="Hiragino Sans GB" w:hAnsi="Hiragino Sans GB" w:eastAsia="Hiragino Sans GB"/>
        <w:b w:val="0"/>
        <w:color w:val="667085"/>
        <w:sz w:val="17"/>
      </w:rPr>
      <w:tab/>
      <w:t>双版本｜沟通与决策材料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Hiragino Sans GB" w:hAnsi="Hiragino Sans GB" w:eastAsia="Hiragino Sans GB"/>
        <w:b/>
        <w:color w:val="667085"/>
        <w:sz w:val="17"/>
      </w:rPr>
      <w:t>内部决策版｜严格保密</w:t>
    </w:r>
    <w:r>
      <w:rPr>
        <w:rFonts w:ascii="Hiragino Sans GB" w:hAnsi="Hiragino Sans GB" w:eastAsia="Hiragino Sans GB"/>
        <w:b w:val="0"/>
        <w:color w:val="667085"/>
        <w:sz w:val="17"/>
      </w:rPr>
      <w:tab/>
      <w:t>不得外发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Hiragino Sans GB" w:hAnsi="Hiragino Sans GB" w:eastAsia="Hiragino Sans G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8" w:lineRule="auto"/>
      <w:contextualSpacing/>
    </w:pPr>
    <w:rPr>
      <w:rFonts w:ascii="Hiragino Sans GB" w:hAnsi="Hiragino Sans GB" w:eastAsia="Hiragino Sans GB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Hiragino Sans GB" w:hAnsi="Hiragino Sans GB" w:eastAsia="Hiragino Sans G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